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DAFD" w14:textId="77777777" w:rsidR="005B7AD8" w:rsidRPr="00D5388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color w:val="293A55"/>
          <w:sz w:val="28"/>
          <w:szCs w:val="28"/>
        </w:rPr>
      </w:pPr>
    </w:p>
    <w:p w14:paraId="553F182B" w14:textId="77777777" w:rsidR="005B7AD8" w:rsidRPr="005B7AD8" w:rsidRDefault="005B7AD8" w:rsidP="005B7AD8">
      <w:pPr>
        <w:pStyle w:val="tl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293A55"/>
          <w:sz w:val="28"/>
          <w:szCs w:val="28"/>
        </w:rPr>
      </w:pPr>
      <w:r w:rsidRPr="005B7AD8">
        <w:rPr>
          <w:b/>
          <w:bCs/>
          <w:color w:val="293A55"/>
          <w:sz w:val="28"/>
          <w:szCs w:val="28"/>
        </w:rPr>
        <w:t>ЗАТВЕРДЖЕНО</w:t>
      </w:r>
      <w:r w:rsidRPr="005B7AD8">
        <w:rPr>
          <w:b/>
          <w:bCs/>
          <w:color w:val="293A55"/>
          <w:sz w:val="28"/>
          <w:szCs w:val="28"/>
        </w:rPr>
        <w:br/>
        <w:t xml:space="preserve">Наказ Міністерства аграрної політики </w:t>
      </w:r>
    </w:p>
    <w:p w14:paraId="7BBDD7ED" w14:textId="793DDC73" w:rsidR="005B7AD8" w:rsidRPr="005B7AD8" w:rsidRDefault="005B7AD8" w:rsidP="005B7AD8">
      <w:pPr>
        <w:pStyle w:val="tl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293A55"/>
          <w:sz w:val="28"/>
          <w:szCs w:val="28"/>
        </w:rPr>
      </w:pPr>
      <w:r w:rsidRPr="005B7AD8">
        <w:rPr>
          <w:b/>
          <w:bCs/>
          <w:color w:val="293A55"/>
          <w:sz w:val="28"/>
          <w:szCs w:val="28"/>
        </w:rPr>
        <w:t>та продовольства України</w:t>
      </w:r>
      <w:r w:rsidRPr="005B7AD8">
        <w:rPr>
          <w:b/>
          <w:bCs/>
          <w:color w:val="293A55"/>
          <w:sz w:val="28"/>
          <w:szCs w:val="28"/>
        </w:rPr>
        <w:br/>
        <w:t>12 липня 2022 року N 449</w:t>
      </w:r>
    </w:p>
    <w:p w14:paraId="3D118BE5" w14:textId="77777777" w:rsidR="005B7AD8" w:rsidRDefault="005B7AD8" w:rsidP="005B7AD8">
      <w:pPr>
        <w:pStyle w:val="3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293A55"/>
          <w:sz w:val="28"/>
          <w:szCs w:val="28"/>
        </w:rPr>
      </w:pPr>
    </w:p>
    <w:p w14:paraId="6530ABAD" w14:textId="77777777" w:rsidR="005B7AD8" w:rsidRPr="005B7AD8" w:rsidRDefault="005B7AD8" w:rsidP="005B7AD8">
      <w:pPr>
        <w:pStyle w:val="3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bCs/>
          <w:color w:val="293A55"/>
          <w:sz w:val="28"/>
          <w:szCs w:val="28"/>
        </w:rPr>
      </w:pPr>
      <w:r w:rsidRPr="005B7AD8">
        <w:rPr>
          <w:rFonts w:ascii="Times New Roman" w:hAnsi="Times New Roman" w:cs="Times New Roman"/>
          <w:b/>
          <w:bCs/>
          <w:color w:val="293A55"/>
          <w:sz w:val="28"/>
          <w:szCs w:val="28"/>
        </w:rPr>
        <w:t>ПОРЯДОК</w:t>
      </w:r>
      <w:r w:rsidRPr="005B7AD8">
        <w:rPr>
          <w:rFonts w:ascii="Times New Roman" w:hAnsi="Times New Roman" w:cs="Times New Roman"/>
          <w:b/>
          <w:bCs/>
          <w:color w:val="293A55"/>
          <w:sz w:val="28"/>
          <w:szCs w:val="28"/>
        </w:rPr>
        <w:br/>
      </w:r>
      <w:proofErr w:type="spellStart"/>
      <w:r w:rsidRPr="005B7AD8">
        <w:rPr>
          <w:rFonts w:ascii="Times New Roman" w:hAnsi="Times New Roman" w:cs="Times New Roman"/>
          <w:b/>
          <w:bCs/>
          <w:color w:val="293A55"/>
          <w:sz w:val="28"/>
          <w:szCs w:val="28"/>
        </w:rPr>
        <w:t>прийняття</w:t>
      </w:r>
      <w:proofErr w:type="spellEnd"/>
      <w:r w:rsidRPr="005B7AD8">
        <w:rPr>
          <w:rFonts w:ascii="Times New Roman" w:hAnsi="Times New Roman" w:cs="Times New Roman"/>
          <w:b/>
          <w:bCs/>
          <w:color w:val="293A55"/>
          <w:sz w:val="28"/>
          <w:szCs w:val="28"/>
        </w:rPr>
        <w:t xml:space="preserve"> </w:t>
      </w:r>
      <w:proofErr w:type="spellStart"/>
      <w:r w:rsidRPr="005B7AD8">
        <w:rPr>
          <w:rFonts w:ascii="Times New Roman" w:hAnsi="Times New Roman" w:cs="Times New Roman"/>
          <w:b/>
          <w:bCs/>
          <w:color w:val="293A55"/>
          <w:sz w:val="28"/>
          <w:szCs w:val="28"/>
        </w:rPr>
        <w:t>рішення</w:t>
      </w:r>
      <w:proofErr w:type="spellEnd"/>
      <w:r w:rsidRPr="005B7AD8">
        <w:rPr>
          <w:rFonts w:ascii="Times New Roman" w:hAnsi="Times New Roman" w:cs="Times New Roman"/>
          <w:b/>
          <w:bCs/>
          <w:color w:val="293A55"/>
          <w:sz w:val="28"/>
          <w:szCs w:val="28"/>
        </w:rPr>
        <w:t xml:space="preserve"> </w:t>
      </w:r>
      <w:proofErr w:type="spellStart"/>
      <w:r w:rsidRPr="005B7AD8">
        <w:rPr>
          <w:rFonts w:ascii="Times New Roman" w:hAnsi="Times New Roman" w:cs="Times New Roman"/>
          <w:b/>
          <w:bCs/>
          <w:color w:val="293A55"/>
          <w:sz w:val="28"/>
          <w:szCs w:val="28"/>
        </w:rPr>
        <w:t>Мінагрополітики</w:t>
      </w:r>
      <w:proofErr w:type="spellEnd"/>
      <w:r w:rsidRPr="005B7AD8">
        <w:rPr>
          <w:rFonts w:ascii="Times New Roman" w:hAnsi="Times New Roman" w:cs="Times New Roman"/>
          <w:b/>
          <w:bCs/>
          <w:color w:val="293A55"/>
          <w:sz w:val="28"/>
          <w:szCs w:val="28"/>
        </w:rPr>
        <w:t xml:space="preserve"> про </w:t>
      </w:r>
      <w:proofErr w:type="spellStart"/>
      <w:r w:rsidRPr="005B7AD8">
        <w:rPr>
          <w:rFonts w:ascii="Times New Roman" w:hAnsi="Times New Roman" w:cs="Times New Roman"/>
          <w:b/>
          <w:bCs/>
          <w:color w:val="293A55"/>
          <w:sz w:val="28"/>
          <w:szCs w:val="28"/>
        </w:rPr>
        <w:t>надання</w:t>
      </w:r>
      <w:proofErr w:type="spellEnd"/>
      <w:r w:rsidRPr="005B7AD8">
        <w:rPr>
          <w:rFonts w:ascii="Times New Roman" w:hAnsi="Times New Roman" w:cs="Times New Roman"/>
          <w:b/>
          <w:bCs/>
          <w:color w:val="293A55"/>
          <w:sz w:val="28"/>
          <w:szCs w:val="28"/>
        </w:rPr>
        <w:t xml:space="preserve"> гранту для </w:t>
      </w:r>
      <w:proofErr w:type="spellStart"/>
      <w:r w:rsidRPr="005B7AD8">
        <w:rPr>
          <w:rFonts w:ascii="Times New Roman" w:hAnsi="Times New Roman" w:cs="Times New Roman"/>
          <w:b/>
          <w:bCs/>
          <w:color w:val="293A55"/>
          <w:sz w:val="28"/>
          <w:szCs w:val="28"/>
        </w:rPr>
        <w:t>створення</w:t>
      </w:r>
      <w:proofErr w:type="spellEnd"/>
      <w:r w:rsidRPr="005B7AD8">
        <w:rPr>
          <w:rFonts w:ascii="Times New Roman" w:hAnsi="Times New Roman" w:cs="Times New Roman"/>
          <w:b/>
          <w:bCs/>
          <w:color w:val="293A55"/>
          <w:sz w:val="28"/>
          <w:szCs w:val="28"/>
        </w:rPr>
        <w:t xml:space="preserve"> </w:t>
      </w:r>
      <w:proofErr w:type="spellStart"/>
      <w:r w:rsidRPr="005B7AD8">
        <w:rPr>
          <w:rFonts w:ascii="Times New Roman" w:hAnsi="Times New Roman" w:cs="Times New Roman"/>
          <w:b/>
          <w:bCs/>
          <w:color w:val="293A55"/>
          <w:sz w:val="28"/>
          <w:szCs w:val="28"/>
        </w:rPr>
        <w:t>або</w:t>
      </w:r>
      <w:proofErr w:type="spellEnd"/>
      <w:r w:rsidRPr="005B7AD8">
        <w:rPr>
          <w:rFonts w:ascii="Times New Roman" w:hAnsi="Times New Roman" w:cs="Times New Roman"/>
          <w:b/>
          <w:bCs/>
          <w:color w:val="293A55"/>
          <w:sz w:val="28"/>
          <w:szCs w:val="28"/>
        </w:rPr>
        <w:t xml:space="preserve"> </w:t>
      </w:r>
      <w:proofErr w:type="spellStart"/>
      <w:r w:rsidRPr="005B7AD8">
        <w:rPr>
          <w:rFonts w:ascii="Times New Roman" w:hAnsi="Times New Roman" w:cs="Times New Roman"/>
          <w:b/>
          <w:bCs/>
          <w:color w:val="293A55"/>
          <w:sz w:val="28"/>
          <w:szCs w:val="28"/>
        </w:rPr>
        <w:t>розвитку</w:t>
      </w:r>
      <w:proofErr w:type="spellEnd"/>
      <w:r w:rsidRPr="005B7AD8">
        <w:rPr>
          <w:rFonts w:ascii="Times New Roman" w:hAnsi="Times New Roman" w:cs="Times New Roman"/>
          <w:b/>
          <w:bCs/>
          <w:color w:val="293A55"/>
          <w:sz w:val="28"/>
          <w:szCs w:val="28"/>
        </w:rPr>
        <w:t xml:space="preserve"> тепличного </w:t>
      </w:r>
      <w:proofErr w:type="spellStart"/>
      <w:r w:rsidRPr="005B7AD8">
        <w:rPr>
          <w:rFonts w:ascii="Times New Roman" w:hAnsi="Times New Roman" w:cs="Times New Roman"/>
          <w:b/>
          <w:bCs/>
          <w:color w:val="293A55"/>
          <w:sz w:val="28"/>
          <w:szCs w:val="28"/>
        </w:rPr>
        <w:t>господарства</w:t>
      </w:r>
      <w:proofErr w:type="spellEnd"/>
    </w:p>
    <w:p w14:paraId="173703BC" w14:textId="77777777" w:rsidR="005B7AD8" w:rsidRPr="00D53888" w:rsidRDefault="005B7AD8" w:rsidP="005B7AD8">
      <w:pPr>
        <w:spacing w:line="276" w:lineRule="auto"/>
      </w:pPr>
    </w:p>
    <w:p w14:paraId="34970EC0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D53888">
        <w:rPr>
          <w:color w:val="293A55"/>
          <w:sz w:val="28"/>
          <w:szCs w:val="28"/>
        </w:rPr>
        <w:t>1. Цей Порядок визначає організацію роботи Мінагрополітики щодо розгляду пр</w:t>
      </w:r>
      <w:r w:rsidRPr="005B7AD8">
        <w:rPr>
          <w:color w:val="000000" w:themeColor="text1"/>
          <w:sz w:val="28"/>
          <w:szCs w:val="28"/>
        </w:rPr>
        <w:t>оектів модульної теплиці для прийняття рішення про надання грантів для створення або розвитку тепличного господарства відповідно до Порядку надання грантів для створення або розвитку тепличного господарства, затвердженого </w:t>
      </w:r>
      <w:hyperlink r:id="rId4" w:tgtFrame="_blank" w:history="1">
        <w:r w:rsidRPr="005B7AD8">
          <w:rPr>
            <w:rStyle w:val="hard-blue-color"/>
            <w:color w:val="000000" w:themeColor="text1"/>
            <w:sz w:val="28"/>
            <w:szCs w:val="28"/>
          </w:rPr>
          <w:t>постановою Кабінету Міністрів України від 21 червня 2022 року N 738</w:t>
        </w:r>
      </w:hyperlink>
      <w:r w:rsidRPr="005B7AD8">
        <w:rPr>
          <w:color w:val="000000" w:themeColor="text1"/>
          <w:sz w:val="28"/>
          <w:szCs w:val="28"/>
        </w:rPr>
        <w:t> (далі - Порядок).</w:t>
      </w:r>
    </w:p>
    <w:p w14:paraId="221DB238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2. З метою забезпечення розгляду проектів модульної теплиці для прийняття рішення про надання грантів для створення або розвитку тепличного господарства Мінагрополітики створює Робочу групу з перевірки проектів модульної теплиці (далі - Робоча група).</w:t>
      </w:r>
    </w:p>
    <w:p w14:paraId="684AD958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hyperlink r:id="rId5" w:tgtFrame="_blank" w:history="1">
        <w:r w:rsidRPr="005B7AD8">
          <w:rPr>
            <w:rStyle w:val="a3"/>
            <w:color w:val="000000" w:themeColor="text1"/>
            <w:sz w:val="28"/>
            <w:szCs w:val="28"/>
            <w:u w:val="none"/>
          </w:rPr>
          <w:t>3. Проєкт модульної теплиці має бути підписаний особою, яка його розробила та містити: пояснювальну записку, зведений кошторисний розрахунок вартості будівництва, схематичне зображення (креслення) модульної теплиці.</w:t>
        </w:r>
      </w:hyperlink>
    </w:p>
    <w:p w14:paraId="1A80FE5B" w14:textId="77777777" w:rsidR="005B7AD8" w:rsidRPr="005B7AD8" w:rsidRDefault="005B7AD8" w:rsidP="005B7AD8">
      <w:pPr>
        <w:pStyle w:val="tr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iCs/>
          <w:color w:val="000000" w:themeColor="text1"/>
          <w:sz w:val="28"/>
          <w:szCs w:val="28"/>
        </w:rPr>
      </w:pPr>
      <w:hyperlink r:id="rId6" w:tgtFrame="_blank" w:history="1">
        <w:r w:rsidRPr="005B7AD8">
          <w:rPr>
            <w:rStyle w:val="a3"/>
            <w:i/>
            <w:iCs/>
            <w:color w:val="000000" w:themeColor="text1"/>
            <w:sz w:val="28"/>
            <w:szCs w:val="28"/>
            <w:u w:val="none"/>
          </w:rPr>
          <w:t>(пункт 3 у редакції наказу Міністерства аграрної</w:t>
        </w:r>
        <w:r w:rsidRPr="005B7AD8">
          <w:rPr>
            <w:i/>
            <w:iCs/>
            <w:color w:val="000000" w:themeColor="text1"/>
            <w:sz w:val="28"/>
            <w:szCs w:val="28"/>
          </w:rPr>
          <w:br/>
        </w:r>
        <w:r w:rsidRPr="005B7AD8">
          <w:rPr>
            <w:rStyle w:val="a3"/>
            <w:i/>
            <w:iCs/>
            <w:color w:val="000000" w:themeColor="text1"/>
            <w:sz w:val="28"/>
            <w:szCs w:val="28"/>
            <w:u w:val="none"/>
          </w:rPr>
          <w:t> політики та продовольства України від 28.12.2022 р. N 1073</w:t>
        </w:r>
      </w:hyperlink>
      <w:hyperlink r:id="rId7" w:tgtFrame="_blank" w:history="1">
        <w:r w:rsidRPr="005B7AD8">
          <w:rPr>
            <w:rStyle w:val="a3"/>
            <w:i/>
            <w:iCs/>
            <w:color w:val="000000" w:themeColor="text1"/>
            <w:sz w:val="28"/>
            <w:szCs w:val="28"/>
            <w:u w:val="none"/>
          </w:rPr>
          <w:t>,</w:t>
        </w:r>
        <w:r w:rsidRPr="005B7AD8">
          <w:rPr>
            <w:i/>
            <w:iCs/>
            <w:color w:val="000000" w:themeColor="text1"/>
            <w:sz w:val="28"/>
            <w:szCs w:val="28"/>
          </w:rPr>
          <w:br/>
        </w:r>
        <w:r w:rsidRPr="005B7AD8">
          <w:rPr>
            <w:rStyle w:val="a3"/>
            <w:i/>
            <w:iCs/>
            <w:color w:val="000000" w:themeColor="text1"/>
            <w:sz w:val="28"/>
            <w:szCs w:val="28"/>
            <w:u w:val="none"/>
          </w:rPr>
          <w:t>враховуючи зміни, внесені</w:t>
        </w:r>
      </w:hyperlink>
      <w:r w:rsidRPr="005B7AD8">
        <w:rPr>
          <w:i/>
          <w:iCs/>
          <w:color w:val="000000" w:themeColor="text1"/>
          <w:sz w:val="28"/>
          <w:szCs w:val="28"/>
        </w:rPr>
        <w:t> </w:t>
      </w:r>
      <w:hyperlink r:id="rId8" w:tgtFrame="_blank" w:history="1">
        <w:r w:rsidRPr="005B7AD8">
          <w:rPr>
            <w:rStyle w:val="hard-blue-color"/>
            <w:i/>
            <w:iCs/>
            <w:color w:val="000000" w:themeColor="text1"/>
            <w:sz w:val="28"/>
            <w:szCs w:val="28"/>
          </w:rPr>
          <w:t>наказом Міністерства аграрної</w:t>
        </w:r>
        <w:r w:rsidRPr="005B7AD8">
          <w:rPr>
            <w:i/>
            <w:iCs/>
            <w:color w:val="000000" w:themeColor="text1"/>
            <w:sz w:val="28"/>
            <w:szCs w:val="28"/>
          </w:rPr>
          <w:br/>
        </w:r>
        <w:r w:rsidRPr="005B7AD8">
          <w:rPr>
            <w:rStyle w:val="hard-blue-color"/>
            <w:i/>
            <w:iCs/>
            <w:color w:val="000000" w:themeColor="text1"/>
            <w:sz w:val="28"/>
            <w:szCs w:val="28"/>
          </w:rPr>
          <w:t> політики та продовольства України від 04.01.2023 р. N 16</w:t>
        </w:r>
      </w:hyperlink>
      <w:hyperlink r:id="rId9" w:tgtFrame="_blank" w:history="1">
        <w:r w:rsidRPr="005B7AD8">
          <w:rPr>
            <w:rStyle w:val="a3"/>
            <w:i/>
            <w:iCs/>
            <w:color w:val="000000" w:themeColor="text1"/>
            <w:sz w:val="28"/>
            <w:szCs w:val="28"/>
            <w:u w:val="none"/>
          </w:rPr>
          <w:t>)</w:t>
        </w:r>
      </w:hyperlink>
    </w:p>
    <w:p w14:paraId="61AAA66C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4. Робоча група здійснює перевірку відповідності критеріям, передбаченим пунктом 10 цього Порядку (далі - перевірка), проектів модульної теплиці, які надійшли від суб'єктів господарювання відповідно до </w:t>
      </w:r>
      <w:hyperlink r:id="rId10" w:tgtFrame="_blank" w:history="1">
        <w:r w:rsidRPr="005B7AD8">
          <w:rPr>
            <w:rStyle w:val="hard-blue-color"/>
            <w:color w:val="000000" w:themeColor="text1"/>
            <w:sz w:val="28"/>
            <w:szCs w:val="28"/>
          </w:rPr>
          <w:t>Порядку</w:t>
        </w:r>
      </w:hyperlink>
      <w:r w:rsidRPr="005B7AD8">
        <w:rPr>
          <w:color w:val="000000" w:themeColor="text1"/>
          <w:sz w:val="28"/>
          <w:szCs w:val="28"/>
        </w:rPr>
        <w:t>.</w:t>
      </w:r>
    </w:p>
    <w:p w14:paraId="6ABF745E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5. Склад Робочої групи затверджується наказом Мінагрополітики.</w:t>
      </w:r>
    </w:p>
    <w:p w14:paraId="4DE03302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6. До складу Робочої групи входять Голова, секретар та не більше п'яти членів Робочої групи з представників структурних підрозділів Мінагрополітики, інших державних органів, наукових установ та громадських організацій (за згодою).</w:t>
      </w:r>
    </w:p>
    <w:p w14:paraId="2D11AD0B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7. Робочу групу очолює Голова, який організовує її роботу. У разі відсутності Голови його обов'язки виконує один з її членів.</w:t>
      </w:r>
    </w:p>
    <w:p w14:paraId="1A284641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8. Направлення проектів модульної теплиці до розгляду членами Робочої групи, а також узагальнення перевірки членами Робочої групи проектів модульної теплиці покладаються на секретаря Робочої групи, а в разі його відсутності - на одного з її членів.</w:t>
      </w:r>
    </w:p>
    <w:p w14:paraId="161BFB7D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lastRenderedPageBreak/>
        <w:t>9. Секретар Робочої групи, не пізніше ніж на третій робочий день після надходження до Мінагрополітики проектів модульної теплиці, направляє їх на розгляд членам Робочої групи для проведення перевірки.</w:t>
      </w:r>
    </w:p>
    <w:p w14:paraId="4A8BB603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10. Члени Робочої групи протягом двох робочих днів розглядають проекти модульної теплиці, та здійснюють їх перевірку на відповідність таким критеріям (зазначаючи "відповідає" чи "не відповідає"):</w:t>
      </w:r>
    </w:p>
    <w:p w14:paraId="6CD2757E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hyperlink r:id="rId11" w:tgtFrame="_blank" w:history="1">
        <w:r w:rsidRPr="005B7AD8">
          <w:rPr>
            <w:rStyle w:val="a3"/>
            <w:color w:val="000000" w:themeColor="text1"/>
            <w:sz w:val="28"/>
            <w:szCs w:val="28"/>
            <w:u w:val="none"/>
          </w:rPr>
          <w:t>відповідність проєкту модульної теплиці пункту 3 Порядку;</w:t>
        </w:r>
      </w:hyperlink>
    </w:p>
    <w:p w14:paraId="60F24BE5" w14:textId="77777777" w:rsidR="005B7AD8" w:rsidRPr="005B7AD8" w:rsidRDefault="005B7AD8" w:rsidP="005B7AD8">
      <w:pPr>
        <w:pStyle w:val="tr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i/>
          <w:iCs/>
          <w:color w:val="000000" w:themeColor="text1"/>
          <w:sz w:val="28"/>
          <w:szCs w:val="28"/>
        </w:rPr>
      </w:pPr>
      <w:hyperlink r:id="rId12" w:tgtFrame="_blank" w:history="1">
        <w:r w:rsidRPr="005B7AD8">
          <w:rPr>
            <w:rStyle w:val="a3"/>
            <w:i/>
            <w:iCs/>
            <w:color w:val="000000" w:themeColor="text1"/>
            <w:sz w:val="28"/>
            <w:szCs w:val="28"/>
            <w:u w:val="none"/>
          </w:rPr>
          <w:t>(пункт 10 доповнено новим абзацом другим згідно з</w:t>
        </w:r>
        <w:r w:rsidRPr="005B7AD8">
          <w:rPr>
            <w:i/>
            <w:iCs/>
            <w:color w:val="000000" w:themeColor="text1"/>
            <w:sz w:val="28"/>
            <w:szCs w:val="28"/>
          </w:rPr>
          <w:br/>
        </w:r>
        <w:r w:rsidRPr="005B7AD8">
          <w:rPr>
            <w:rStyle w:val="a3"/>
            <w:i/>
            <w:iCs/>
            <w:color w:val="000000" w:themeColor="text1"/>
            <w:sz w:val="28"/>
            <w:szCs w:val="28"/>
            <w:u w:val="none"/>
          </w:rPr>
          <w:t> наказом Міністерства аграрної політики та продовольства України</w:t>
        </w:r>
        <w:r w:rsidRPr="005B7AD8">
          <w:rPr>
            <w:i/>
            <w:iCs/>
            <w:color w:val="000000" w:themeColor="text1"/>
            <w:sz w:val="28"/>
            <w:szCs w:val="28"/>
          </w:rPr>
          <w:br/>
        </w:r>
        <w:r w:rsidRPr="005B7AD8">
          <w:rPr>
            <w:rStyle w:val="a3"/>
            <w:i/>
            <w:iCs/>
            <w:color w:val="000000" w:themeColor="text1"/>
            <w:sz w:val="28"/>
            <w:szCs w:val="28"/>
            <w:u w:val="none"/>
          </w:rPr>
          <w:t> від 28.12.2022 р. N 1073</w:t>
        </w:r>
      </w:hyperlink>
      <w:hyperlink r:id="rId13" w:tgtFrame="_blank" w:history="1">
        <w:r w:rsidRPr="005B7AD8">
          <w:rPr>
            <w:rStyle w:val="a3"/>
            <w:i/>
            <w:iCs/>
            <w:color w:val="000000" w:themeColor="text1"/>
            <w:sz w:val="28"/>
            <w:szCs w:val="28"/>
            <w:u w:val="none"/>
          </w:rPr>
          <w:t>,</w:t>
        </w:r>
        <w:r w:rsidRPr="005B7AD8">
          <w:rPr>
            <w:i/>
            <w:iCs/>
            <w:color w:val="000000" w:themeColor="text1"/>
            <w:sz w:val="28"/>
            <w:szCs w:val="28"/>
          </w:rPr>
          <w:br/>
        </w:r>
        <w:r w:rsidRPr="005B7AD8">
          <w:rPr>
            <w:rStyle w:val="a3"/>
            <w:i/>
            <w:iCs/>
            <w:color w:val="000000" w:themeColor="text1"/>
            <w:sz w:val="28"/>
            <w:szCs w:val="28"/>
            <w:u w:val="none"/>
          </w:rPr>
          <w:t>враховуючи зміни, внесені</w:t>
        </w:r>
      </w:hyperlink>
      <w:r w:rsidRPr="005B7AD8">
        <w:rPr>
          <w:i/>
          <w:iCs/>
          <w:color w:val="000000" w:themeColor="text1"/>
          <w:sz w:val="28"/>
          <w:szCs w:val="28"/>
        </w:rPr>
        <w:t> </w:t>
      </w:r>
      <w:hyperlink r:id="rId14" w:tgtFrame="_blank" w:history="1">
        <w:r w:rsidRPr="005B7AD8">
          <w:rPr>
            <w:rStyle w:val="hard-blue-color"/>
            <w:i/>
            <w:iCs/>
            <w:color w:val="000000" w:themeColor="text1"/>
            <w:sz w:val="28"/>
            <w:szCs w:val="28"/>
          </w:rPr>
          <w:t>наказом Міністерства аграрної</w:t>
        </w:r>
        <w:r w:rsidRPr="005B7AD8">
          <w:rPr>
            <w:i/>
            <w:iCs/>
            <w:color w:val="000000" w:themeColor="text1"/>
            <w:sz w:val="28"/>
            <w:szCs w:val="28"/>
          </w:rPr>
          <w:br/>
        </w:r>
        <w:r w:rsidRPr="005B7AD8">
          <w:rPr>
            <w:rStyle w:val="hard-blue-color"/>
            <w:i/>
            <w:iCs/>
            <w:color w:val="000000" w:themeColor="text1"/>
            <w:sz w:val="28"/>
            <w:szCs w:val="28"/>
          </w:rPr>
          <w:t> політики та продовольства України від 04.01.2023 р. N 16</w:t>
        </w:r>
      </w:hyperlink>
      <w:hyperlink r:id="rId15" w:tgtFrame="_blank" w:history="1">
        <w:r w:rsidRPr="005B7AD8">
          <w:rPr>
            <w:rStyle w:val="a3"/>
            <w:i/>
            <w:iCs/>
            <w:color w:val="000000" w:themeColor="text1"/>
            <w:sz w:val="28"/>
            <w:szCs w:val="28"/>
            <w:u w:val="none"/>
          </w:rPr>
          <w:t>,</w:t>
        </w:r>
        <w:r w:rsidRPr="005B7AD8">
          <w:rPr>
            <w:i/>
            <w:iCs/>
            <w:color w:val="000000" w:themeColor="text1"/>
            <w:sz w:val="28"/>
            <w:szCs w:val="28"/>
          </w:rPr>
          <w:br/>
        </w:r>
        <w:r w:rsidRPr="005B7AD8">
          <w:rPr>
            <w:rStyle w:val="a3"/>
            <w:i/>
            <w:iCs/>
            <w:color w:val="000000" w:themeColor="text1"/>
            <w:sz w:val="28"/>
            <w:szCs w:val="28"/>
            <w:u w:val="none"/>
          </w:rPr>
          <w:t>у зв'язку з цим абзаци другий - одинадцятий</w:t>
        </w:r>
        <w:r w:rsidRPr="005B7AD8">
          <w:rPr>
            <w:i/>
            <w:iCs/>
            <w:color w:val="000000" w:themeColor="text1"/>
            <w:sz w:val="28"/>
            <w:szCs w:val="28"/>
          </w:rPr>
          <w:br/>
        </w:r>
        <w:r w:rsidRPr="005B7AD8">
          <w:rPr>
            <w:rStyle w:val="a3"/>
            <w:i/>
            <w:iCs/>
            <w:color w:val="000000" w:themeColor="text1"/>
            <w:sz w:val="28"/>
            <w:szCs w:val="28"/>
            <w:u w:val="none"/>
          </w:rPr>
          <w:t> вважати абзацами третім - дванадцятим)</w:t>
        </w:r>
      </w:hyperlink>
    </w:p>
    <w:p w14:paraId="4A568A66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відповідність кількості теплиць, запланованих до будівництва в розрізі регіонів </w:t>
      </w:r>
      <w:hyperlink r:id="rId16" w:tgtFrame="_blank" w:history="1">
        <w:r w:rsidRPr="005B7AD8">
          <w:rPr>
            <w:rStyle w:val="hard-blue-color"/>
            <w:color w:val="000000" w:themeColor="text1"/>
            <w:sz w:val="28"/>
            <w:szCs w:val="28"/>
          </w:rPr>
          <w:t>додатку 1 до Порядку</w:t>
        </w:r>
      </w:hyperlink>
      <w:r w:rsidRPr="005B7AD8">
        <w:rPr>
          <w:color w:val="000000" w:themeColor="text1"/>
          <w:sz w:val="28"/>
          <w:szCs w:val="28"/>
        </w:rPr>
        <w:t>;</w:t>
      </w:r>
    </w:p>
    <w:p w14:paraId="75084EB5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площа під теплицею;</w:t>
      </w:r>
    </w:p>
    <w:p w14:paraId="5AC065EC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типу теплиці;</w:t>
      </w:r>
    </w:p>
    <w:p w14:paraId="2212E56E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типу покриття;</w:t>
      </w:r>
    </w:p>
    <w:p w14:paraId="49F86681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типу каркасу;</w:t>
      </w:r>
    </w:p>
    <w:p w14:paraId="59814FE2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типу фундаментів/опор;</w:t>
      </w:r>
    </w:p>
    <w:p w14:paraId="50E275F4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типу продукту;</w:t>
      </w:r>
    </w:p>
    <w:p w14:paraId="1AD3FE37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наявності водозабору та системи поливу.</w:t>
      </w:r>
    </w:p>
    <w:p w14:paraId="51CC3F06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Перевірка критеріїв відображається у формі відповідності критеріїв для створення або розвитку тепличного господарства, відповідно до </w:t>
      </w:r>
      <w:hyperlink r:id="rId17" w:tgtFrame="_blank" w:history="1">
        <w:r w:rsidRPr="005B7AD8">
          <w:rPr>
            <w:rStyle w:val="hard-blue-color"/>
            <w:color w:val="000000" w:themeColor="text1"/>
            <w:sz w:val="28"/>
            <w:szCs w:val="28"/>
          </w:rPr>
          <w:t>додатку 1 до цього Порядку</w:t>
        </w:r>
      </w:hyperlink>
      <w:r w:rsidRPr="005B7AD8">
        <w:rPr>
          <w:color w:val="000000" w:themeColor="text1"/>
          <w:sz w:val="28"/>
          <w:szCs w:val="28"/>
        </w:rPr>
        <w:t> (далі - Форма). Вимоги до критеріїв для створення або розвитку тепличного господарства наведено у додатку 2 до цього Порядку.</w:t>
      </w:r>
    </w:p>
    <w:p w14:paraId="239AA81E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Перевірку мають провести мінімум три члени Робочої групи. Заповнені та підписані Форми члени Робочої групи направляють секретарю Робочої групи.</w:t>
      </w:r>
    </w:p>
    <w:p w14:paraId="7F303FB1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11. За результатами заповнених членами Робочої групи Форм, відповідний структурний підрозділ Мінагрополітики готує наказ Мінагрополітики про надання, або відмову у наданні гранту відповідно до </w:t>
      </w:r>
      <w:hyperlink r:id="rId18" w:tgtFrame="_blank" w:history="1">
        <w:r w:rsidRPr="005B7AD8">
          <w:rPr>
            <w:rStyle w:val="hard-blue-color"/>
            <w:color w:val="000000" w:themeColor="text1"/>
            <w:sz w:val="28"/>
            <w:szCs w:val="28"/>
          </w:rPr>
          <w:t>пункту 10 Порядку</w:t>
        </w:r>
      </w:hyperlink>
      <w:r w:rsidRPr="005B7AD8">
        <w:rPr>
          <w:color w:val="000000" w:themeColor="text1"/>
          <w:sz w:val="28"/>
          <w:szCs w:val="28"/>
        </w:rPr>
        <w:t>, а також повідомляє Мінекономіки, уповноважений банк та отримувача про прийняте рішення шляхом надсилання листа.</w:t>
      </w:r>
    </w:p>
    <w:p w14:paraId="79085D5D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12. Проекти модульної теплиці, що відповідають усім критеріям визначеним пунктом 10 цього Порядку, включають до наказу Мінагрополітики про надання гранту.</w:t>
      </w:r>
    </w:p>
    <w:p w14:paraId="50F2A08F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t>Проекти модульної теплиці, що не відповідають хоча б одному критерію визначеному пунктом 10 цього Порядку, включають до наказу Мінагрополітики про відмову у наданні гранту.</w:t>
      </w:r>
    </w:p>
    <w:p w14:paraId="07067DD2" w14:textId="77777777" w:rsidR="005B7AD8" w:rsidRPr="005B7AD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B7AD8">
        <w:rPr>
          <w:color w:val="000000" w:themeColor="text1"/>
          <w:sz w:val="28"/>
          <w:szCs w:val="28"/>
        </w:rPr>
        <w:lastRenderedPageBreak/>
        <w:t>13. Заяви, проекти модульної теплиці та Форми зберігаються у відповідному структурному підрозділі Мінагрополітики.</w:t>
      </w:r>
    </w:p>
    <w:p w14:paraId="1F159C09" w14:textId="77777777" w:rsidR="005B7AD8" w:rsidRPr="00D53888" w:rsidRDefault="005B7AD8" w:rsidP="005B7AD8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93A55"/>
          <w:sz w:val="28"/>
          <w:szCs w:val="28"/>
        </w:rPr>
      </w:pPr>
      <w:r w:rsidRPr="00D53888">
        <w:rPr>
          <w:color w:val="293A55"/>
          <w:sz w:val="28"/>
          <w:szCs w:val="2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5B7AD8" w:rsidRPr="00D53888" w14:paraId="5B48A718" w14:textId="77777777" w:rsidTr="002E1C86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FC855" w14:textId="77777777" w:rsidR="005B7AD8" w:rsidRPr="00D53888" w:rsidRDefault="005B7AD8" w:rsidP="005B7AD8">
            <w:pPr>
              <w:pStyle w:val="tc"/>
              <w:spacing w:before="0" w:beforeAutospacing="0" w:after="0" w:afterAutospacing="0"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D53888">
              <w:rPr>
                <w:b/>
                <w:bCs/>
                <w:sz w:val="28"/>
                <w:szCs w:val="28"/>
              </w:rPr>
              <w:t>Директор Департаменту</w:t>
            </w:r>
            <w:r w:rsidRPr="00D53888">
              <w:rPr>
                <w:b/>
                <w:bCs/>
                <w:sz w:val="28"/>
                <w:szCs w:val="28"/>
              </w:rPr>
              <w:br/>
              <w:t>аграрного розвитку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52E29" w14:textId="77777777" w:rsidR="005B7AD8" w:rsidRPr="00D53888" w:rsidRDefault="005B7AD8" w:rsidP="005B7AD8">
            <w:pPr>
              <w:pStyle w:val="tc"/>
              <w:spacing w:before="0" w:beforeAutospacing="0" w:after="0" w:afterAutospacing="0"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D53888">
              <w:rPr>
                <w:b/>
                <w:bCs/>
                <w:sz w:val="28"/>
                <w:szCs w:val="28"/>
              </w:rPr>
              <w:t>Ігор ВІШТАК</w:t>
            </w:r>
          </w:p>
        </w:tc>
      </w:tr>
    </w:tbl>
    <w:p w14:paraId="0D3F3982" w14:textId="77777777" w:rsidR="005B7AD8" w:rsidRPr="00D53888" w:rsidRDefault="005B7AD8" w:rsidP="005B7AD8">
      <w:pPr>
        <w:spacing w:line="276" w:lineRule="auto"/>
        <w:ind w:firstLine="567"/>
        <w:rPr>
          <w:sz w:val="28"/>
          <w:szCs w:val="28"/>
        </w:rPr>
      </w:pPr>
    </w:p>
    <w:p w14:paraId="2E01F0EA" w14:textId="77777777" w:rsidR="00893D27" w:rsidRDefault="00893D27" w:rsidP="005B7AD8">
      <w:pPr>
        <w:spacing w:line="276" w:lineRule="auto"/>
      </w:pPr>
    </w:p>
    <w:sectPr w:rsidR="00893D27" w:rsidSect="006A5C9D">
      <w:headerReference w:type="default" r:id="rId19"/>
      <w:pgSz w:w="11906" w:h="16838"/>
      <w:pgMar w:top="284" w:right="707" w:bottom="426" w:left="1701" w:header="709" w:footer="708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F862" w14:textId="77777777" w:rsidR="00F57227" w:rsidRDefault="00000000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A7E9E5E" w14:textId="77777777" w:rsidR="00F57227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D8"/>
    <w:rsid w:val="005B7AD8"/>
    <w:rsid w:val="0089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C62E3"/>
  <w15:chartTrackingRefBased/>
  <w15:docId w15:val="{9B155037-5A52-6B4D-9292-FEFBED10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AD8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A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B7AD8"/>
    <w:rPr>
      <w:rFonts w:asciiTheme="majorHAnsi" w:eastAsiaTheme="majorEastAsia" w:hAnsiTheme="majorHAnsi" w:cstheme="majorBidi"/>
      <w:color w:val="1F3763" w:themeColor="accent1" w:themeShade="7F"/>
      <w:lang w:val="ru-RU" w:eastAsia="zh-CN"/>
    </w:rPr>
  </w:style>
  <w:style w:type="character" w:styleId="a3">
    <w:name w:val="Hyperlink"/>
    <w:rsid w:val="005B7AD8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5B7AD8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5B7AD8"/>
    <w:rPr>
      <w:rFonts w:ascii="Times New Roman" w:eastAsia="Times New Roman" w:hAnsi="Times New Roman" w:cs="Times New Roman"/>
      <w:szCs w:val="20"/>
      <w:lang w:val="ru-RU" w:eastAsia="zh-CN"/>
    </w:rPr>
  </w:style>
  <w:style w:type="paragraph" w:customStyle="1" w:styleId="tc">
    <w:name w:val="tc"/>
    <w:basedOn w:val="a"/>
    <w:rsid w:val="005B7AD8"/>
    <w:pPr>
      <w:suppressAutoHyphens w:val="0"/>
      <w:spacing w:before="100" w:beforeAutospacing="1" w:after="100" w:afterAutospacing="1"/>
    </w:pPr>
    <w:rPr>
      <w:lang w:val="ru-UA" w:eastAsia="ru-RU"/>
    </w:rPr>
  </w:style>
  <w:style w:type="character" w:customStyle="1" w:styleId="hard-blue-color">
    <w:name w:val="hard-blue-color"/>
    <w:basedOn w:val="a0"/>
    <w:rsid w:val="005B7AD8"/>
  </w:style>
  <w:style w:type="paragraph" w:customStyle="1" w:styleId="tj">
    <w:name w:val="tj"/>
    <w:basedOn w:val="a"/>
    <w:rsid w:val="005B7AD8"/>
    <w:pPr>
      <w:suppressAutoHyphens w:val="0"/>
      <w:spacing w:before="100" w:beforeAutospacing="1" w:after="100" w:afterAutospacing="1"/>
    </w:pPr>
    <w:rPr>
      <w:lang w:val="ru-UA" w:eastAsia="ru-RU"/>
    </w:rPr>
  </w:style>
  <w:style w:type="paragraph" w:customStyle="1" w:styleId="tl">
    <w:name w:val="tl"/>
    <w:basedOn w:val="a"/>
    <w:rsid w:val="005B7AD8"/>
    <w:pPr>
      <w:suppressAutoHyphens w:val="0"/>
      <w:spacing w:before="100" w:beforeAutospacing="1" w:after="100" w:afterAutospacing="1"/>
    </w:pPr>
    <w:rPr>
      <w:lang w:val="ru-UA" w:eastAsia="ru-RU"/>
    </w:rPr>
  </w:style>
  <w:style w:type="paragraph" w:customStyle="1" w:styleId="tr">
    <w:name w:val="tr"/>
    <w:basedOn w:val="a"/>
    <w:rsid w:val="005B7AD8"/>
    <w:pPr>
      <w:suppressAutoHyphens w:val="0"/>
      <w:spacing w:before="100" w:beforeAutospacing="1" w:after="100" w:afterAutospacing="1"/>
    </w:pPr>
    <w:rPr>
      <w:lang w:val="ru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9074?ed=2023_01_04&amp;an=11" TargetMode="External"/><Relationship Id="rId13" Type="http://schemas.openxmlformats.org/officeDocument/2006/relationships/hyperlink" Target="https://ips.ligazakon.net/document/view/re39055?ed=2023_01_04&amp;an=14" TargetMode="External"/><Relationship Id="rId18" Type="http://schemas.openxmlformats.org/officeDocument/2006/relationships/hyperlink" Target="https://ips.ligazakon.net/document/view/kp220738?ed=2022_06_21&amp;an=48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ps.ligazakon.net/document/view/re39055?ed=2023_01_04&amp;an=12" TargetMode="External"/><Relationship Id="rId12" Type="http://schemas.openxmlformats.org/officeDocument/2006/relationships/hyperlink" Target="https://ips.ligazakon.net/document/view/re39055?ed=2023_01_04&amp;an=15" TargetMode="External"/><Relationship Id="rId17" Type="http://schemas.openxmlformats.org/officeDocument/2006/relationships/hyperlink" Target="https://ips.ligazakon.net/document/view/kp220738?ed=2022_06_21&amp;an=5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ps.ligazakon.net/document/view/kp220738?ed=2022_06_21&amp;an=52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9055?ed=2023_01_04&amp;an=13" TargetMode="External"/><Relationship Id="rId11" Type="http://schemas.openxmlformats.org/officeDocument/2006/relationships/hyperlink" Target="https://ips.ligazakon.net/document/view/re39055?ed=2023_01_04&amp;an=15" TargetMode="External"/><Relationship Id="rId5" Type="http://schemas.openxmlformats.org/officeDocument/2006/relationships/hyperlink" Target="https://ips.ligazakon.net/document/view/re39055?ed=2023_01_04&amp;an=13" TargetMode="External"/><Relationship Id="rId15" Type="http://schemas.openxmlformats.org/officeDocument/2006/relationships/hyperlink" Target="https://ips.ligazakon.net/document/view/re39055?ed=2023_01_04&amp;an=14" TargetMode="External"/><Relationship Id="rId10" Type="http://schemas.openxmlformats.org/officeDocument/2006/relationships/hyperlink" Target="https://ips.ligazakon.net/document/view/kp220738?ed=2022_06_21&amp;an=457" TargetMode="External"/><Relationship Id="rId19" Type="http://schemas.openxmlformats.org/officeDocument/2006/relationships/header" Target="header1.xml"/><Relationship Id="rId4" Type="http://schemas.openxmlformats.org/officeDocument/2006/relationships/hyperlink" Target="https://ips.ligazakon.net/document/view/kp220738?ed=2022_06_21&amp;an=457" TargetMode="External"/><Relationship Id="rId9" Type="http://schemas.openxmlformats.org/officeDocument/2006/relationships/hyperlink" Target="https://ips.ligazakon.net/document/view/re39055?ed=2023_01_04&amp;an=12" TargetMode="External"/><Relationship Id="rId14" Type="http://schemas.openxmlformats.org/officeDocument/2006/relationships/hyperlink" Target="https://ips.ligazakon.net/document/view/re39074?ed=2023_01_04&amp;an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2023-02-28T13:29:00Z</dcterms:created>
  <dcterms:modified xsi:type="dcterms:W3CDTF">2023-02-28T13:34:00Z</dcterms:modified>
</cp:coreProperties>
</file>