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FB" w:rsidRDefault="009107FB" w:rsidP="00D441C4">
      <w:pPr>
        <w:pStyle w:val="a"/>
        <w:numPr>
          <w:ilvl w:val="0"/>
          <w:numId w:val="0"/>
        </w:numPr>
        <w:tabs>
          <w:tab w:val="clear" w:pos="1134"/>
          <w:tab w:val="left" w:pos="-180"/>
        </w:tabs>
        <w:spacing w:before="0" w:after="0"/>
        <w:ind w:left="7938"/>
        <w:jc w:val="left"/>
        <w:rPr>
          <w:rFonts w:ascii="Times New Roman" w:hAnsi="Times New Roman"/>
          <w:sz w:val="28"/>
          <w:szCs w:val="28"/>
          <w:lang w:val="uk-UA"/>
        </w:rPr>
      </w:pPr>
      <w:r w:rsidRPr="00675BC4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D441C4" w:rsidRPr="00675BC4" w:rsidRDefault="00D441C4" w:rsidP="00D441C4">
      <w:pPr>
        <w:pStyle w:val="a"/>
        <w:numPr>
          <w:ilvl w:val="0"/>
          <w:numId w:val="0"/>
        </w:numPr>
        <w:tabs>
          <w:tab w:val="clear" w:pos="1134"/>
          <w:tab w:val="left" w:pos="-180"/>
        </w:tabs>
        <w:spacing w:before="0" w:after="0"/>
        <w:ind w:left="793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Методичних рекомендацій</w:t>
      </w:r>
    </w:p>
    <w:p w:rsidR="0018290B" w:rsidRDefault="0018290B" w:rsidP="00EB1FE4">
      <w:pPr>
        <w:pStyle w:val="a5"/>
      </w:pPr>
      <w:r w:rsidRPr="00EB1FE4">
        <w:t>Фактори відбору і критерії, що застосовуються</w:t>
      </w:r>
    </w:p>
    <w:p w:rsidR="0018290B" w:rsidRPr="006D6FB3" w:rsidRDefault="0018290B" w:rsidP="00BE0E82">
      <w:pPr>
        <w:pStyle w:val="a5"/>
        <w:spacing w:after="120"/>
        <w:jc w:val="left"/>
        <w:rPr>
          <w:b w:val="0"/>
          <w:bCs/>
        </w:rPr>
      </w:pPr>
      <w:r w:rsidRPr="006D6FB3">
        <w:rPr>
          <w:b w:val="0"/>
          <w:bCs/>
        </w:rPr>
        <w:t>Фактор відбору 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19"/>
        <w:gridCol w:w="2713"/>
        <w:gridCol w:w="1260"/>
      </w:tblGrid>
      <w:tr w:rsidR="0018290B" w:rsidRPr="00EB1FE4" w:rsidTr="002E4183">
        <w:tc>
          <w:tcPr>
            <w:tcW w:w="2268" w:type="dxa"/>
            <w:vMerge w:val="restart"/>
            <w:shd w:val="clear" w:color="auto" w:fill="FFFFFF" w:themeFill="background1"/>
          </w:tcPr>
          <w:p w:rsidR="0018290B" w:rsidRPr="00921A23" w:rsidRDefault="0018290B" w:rsidP="00EB1FE4">
            <w:pPr>
              <w:pStyle w:val="a5"/>
              <w:rPr>
                <w:b w:val="0"/>
              </w:rPr>
            </w:pPr>
            <w:r w:rsidRPr="00921A23">
              <w:rPr>
                <w:b w:val="0"/>
              </w:rPr>
              <w:t>Фактор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8290B" w:rsidRPr="00921A23" w:rsidRDefault="0018290B" w:rsidP="00EB1FE4">
            <w:pPr>
              <w:pStyle w:val="a5"/>
              <w:rPr>
                <w:b w:val="0"/>
              </w:rPr>
            </w:pPr>
            <w:r w:rsidRPr="00921A23">
              <w:rPr>
                <w:b w:val="0"/>
              </w:rPr>
              <w:t>Джерело інформації</w:t>
            </w:r>
          </w:p>
        </w:tc>
        <w:tc>
          <w:tcPr>
            <w:tcW w:w="3973" w:type="dxa"/>
            <w:gridSpan w:val="2"/>
            <w:shd w:val="clear" w:color="auto" w:fill="FFFFFF" w:themeFill="background1"/>
          </w:tcPr>
          <w:p w:rsidR="0018290B" w:rsidRPr="00921A23" w:rsidRDefault="0018290B" w:rsidP="00EB1FE4">
            <w:pPr>
              <w:pStyle w:val="a5"/>
              <w:rPr>
                <w:b w:val="0"/>
              </w:rPr>
            </w:pPr>
            <w:r w:rsidRPr="00921A23">
              <w:rPr>
                <w:b w:val="0"/>
              </w:rPr>
              <w:t>Критерій</w:t>
            </w:r>
          </w:p>
        </w:tc>
      </w:tr>
      <w:tr w:rsidR="0018290B" w:rsidRPr="00EB1FE4" w:rsidTr="00EB74BD">
        <w:tc>
          <w:tcPr>
            <w:tcW w:w="2268" w:type="dxa"/>
            <w:vMerge/>
            <w:shd w:val="clear" w:color="auto" w:fill="auto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  <w:r w:rsidRPr="00EB1FE4">
              <w:rPr>
                <w:b w:val="0"/>
              </w:rPr>
              <w:t>Діапазон</w:t>
            </w:r>
          </w:p>
        </w:tc>
        <w:tc>
          <w:tcPr>
            <w:tcW w:w="1260" w:type="dxa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  <w:r w:rsidRPr="00EB1FE4">
              <w:rPr>
                <w:b w:val="0"/>
              </w:rPr>
              <w:t>Шкала</w:t>
            </w:r>
          </w:p>
        </w:tc>
      </w:tr>
      <w:tr w:rsidR="0018290B" w:rsidRPr="00EB1FE4" w:rsidTr="00EB74BD">
        <w:tc>
          <w:tcPr>
            <w:tcW w:w="2268" w:type="dxa"/>
            <w:vMerge w:val="restart"/>
            <w:shd w:val="clear" w:color="auto" w:fill="auto"/>
          </w:tcPr>
          <w:p w:rsidR="0018290B" w:rsidRPr="00921A23" w:rsidRDefault="0018290B" w:rsidP="00EB1FE4">
            <w:pPr>
              <w:pStyle w:val="a5"/>
              <w:rPr>
                <w:b w:val="0"/>
              </w:rPr>
            </w:pPr>
            <w:r w:rsidRPr="00921A23">
              <w:rPr>
                <w:b w:val="0"/>
              </w:rPr>
              <w:t>Матеріальність (істотність)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  <w:r w:rsidRPr="00EB1FE4">
              <w:rPr>
                <w:b w:val="0"/>
              </w:rPr>
              <w:t>Для бюджетної установи та бюджетної програми</w:t>
            </w:r>
          </w:p>
          <w:p w:rsidR="0018290B" w:rsidRPr="00EB1FE4" w:rsidRDefault="0018290B" w:rsidP="00EB1FE4">
            <w:pPr>
              <w:pStyle w:val="a5"/>
              <w:rPr>
                <w:b w:val="0"/>
              </w:rPr>
            </w:pPr>
            <w:r w:rsidRPr="00EB1FE4">
              <w:rPr>
                <w:b w:val="0"/>
              </w:rPr>
              <w:t xml:space="preserve">Бюджетні призначення (асигнування): </w:t>
            </w:r>
          </w:p>
          <w:p w:rsidR="0018290B" w:rsidRPr="00EB1FE4" w:rsidRDefault="007149BE" w:rsidP="00EB1FE4">
            <w:pPr>
              <w:pStyle w:val="a5"/>
              <w:rPr>
                <w:b w:val="0"/>
              </w:rPr>
            </w:pPr>
            <w:r w:rsidRPr="00EB1FE4">
              <w:rPr>
                <w:b w:val="0"/>
              </w:rPr>
              <w:t>з</w:t>
            </w:r>
            <w:r w:rsidR="0018290B" w:rsidRPr="00EB1FE4">
              <w:rPr>
                <w:b w:val="0"/>
              </w:rPr>
              <w:t>віт про надходження та викорис</w:t>
            </w:r>
            <w:r w:rsidRPr="00EB1FE4">
              <w:rPr>
                <w:b w:val="0"/>
              </w:rPr>
              <w:t>тання коштів загального фонду (ф</w:t>
            </w:r>
            <w:r w:rsidR="0018290B" w:rsidRPr="00EB1FE4">
              <w:rPr>
                <w:b w:val="0"/>
              </w:rPr>
              <w:t>орма № 2д, № 2м)</w:t>
            </w:r>
          </w:p>
          <w:p w:rsidR="0018290B" w:rsidRPr="00EB1FE4" w:rsidRDefault="007149BE" w:rsidP="00EB1FE4">
            <w:pPr>
              <w:pStyle w:val="a5"/>
              <w:rPr>
                <w:b w:val="0"/>
              </w:rPr>
            </w:pPr>
            <w:r w:rsidRPr="00EB1FE4">
              <w:rPr>
                <w:b w:val="0"/>
              </w:rPr>
              <w:t>ч</w:t>
            </w:r>
            <w:r w:rsidR="0018290B" w:rsidRPr="00EB1FE4">
              <w:rPr>
                <w:b w:val="0"/>
              </w:rPr>
              <w:t xml:space="preserve">и </w:t>
            </w:r>
            <w:r w:rsidRPr="00EB1FE4">
              <w:rPr>
                <w:b w:val="0"/>
              </w:rPr>
              <w:t>п</w:t>
            </w:r>
            <w:r w:rsidR="0018290B" w:rsidRPr="00EB1FE4">
              <w:rPr>
                <w:b w:val="0"/>
              </w:rPr>
              <w:t>аспорт бюджетної програми</w:t>
            </w:r>
          </w:p>
        </w:tc>
        <w:tc>
          <w:tcPr>
            <w:tcW w:w="2713" w:type="dxa"/>
            <w:shd w:val="clear" w:color="auto" w:fill="auto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  <w:r w:rsidRPr="00EB1FE4">
              <w:rPr>
                <w:b w:val="0"/>
              </w:rPr>
              <w:t xml:space="preserve">Понад 5 </w:t>
            </w:r>
            <w:proofErr w:type="spellStart"/>
            <w:r w:rsidRPr="00EB1FE4">
              <w:rPr>
                <w:b w:val="0"/>
              </w:rPr>
              <w:t>млн</w:t>
            </w:r>
            <w:proofErr w:type="spellEnd"/>
            <w:r w:rsidRPr="00EB1FE4">
              <w:rPr>
                <w:b w:val="0"/>
              </w:rPr>
              <w:t xml:space="preserve"> грн</w:t>
            </w:r>
          </w:p>
        </w:tc>
        <w:tc>
          <w:tcPr>
            <w:tcW w:w="1260" w:type="dxa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  <w:r w:rsidRPr="00EB1FE4">
              <w:rPr>
                <w:b w:val="0"/>
              </w:rPr>
              <w:t>3</w:t>
            </w:r>
          </w:p>
        </w:tc>
      </w:tr>
      <w:tr w:rsidR="0018290B" w:rsidRPr="00EB1FE4" w:rsidTr="00EB74BD">
        <w:tc>
          <w:tcPr>
            <w:tcW w:w="2268" w:type="dxa"/>
            <w:vMerge/>
            <w:shd w:val="clear" w:color="auto" w:fill="auto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  <w:r w:rsidRPr="00EB1FE4">
              <w:rPr>
                <w:b w:val="0"/>
              </w:rPr>
              <w:t xml:space="preserve">Від 3 до 5 </w:t>
            </w:r>
            <w:proofErr w:type="spellStart"/>
            <w:r w:rsidRPr="00EB1FE4">
              <w:rPr>
                <w:b w:val="0"/>
              </w:rPr>
              <w:t>млн</w:t>
            </w:r>
            <w:proofErr w:type="spellEnd"/>
            <w:r w:rsidRPr="00EB1FE4">
              <w:rPr>
                <w:b w:val="0"/>
              </w:rPr>
              <w:t xml:space="preserve"> грн</w:t>
            </w:r>
          </w:p>
        </w:tc>
        <w:tc>
          <w:tcPr>
            <w:tcW w:w="1260" w:type="dxa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  <w:r w:rsidRPr="00EB1FE4">
              <w:rPr>
                <w:b w:val="0"/>
              </w:rPr>
              <w:t>2</w:t>
            </w:r>
          </w:p>
        </w:tc>
      </w:tr>
      <w:tr w:rsidR="0018290B" w:rsidRPr="00EB1FE4" w:rsidTr="00EB74BD">
        <w:tc>
          <w:tcPr>
            <w:tcW w:w="2268" w:type="dxa"/>
            <w:vMerge/>
            <w:shd w:val="clear" w:color="auto" w:fill="auto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  <w:r w:rsidRPr="00EB1FE4">
              <w:rPr>
                <w:b w:val="0"/>
              </w:rPr>
              <w:t xml:space="preserve">Від 1 до 2 </w:t>
            </w:r>
            <w:proofErr w:type="spellStart"/>
            <w:r w:rsidRPr="00EB1FE4">
              <w:rPr>
                <w:b w:val="0"/>
              </w:rPr>
              <w:t>млн</w:t>
            </w:r>
            <w:proofErr w:type="spellEnd"/>
            <w:r w:rsidRPr="00EB1FE4">
              <w:rPr>
                <w:b w:val="0"/>
              </w:rPr>
              <w:t xml:space="preserve"> грн</w:t>
            </w:r>
          </w:p>
        </w:tc>
        <w:tc>
          <w:tcPr>
            <w:tcW w:w="1260" w:type="dxa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  <w:r w:rsidRPr="00EB1FE4">
              <w:rPr>
                <w:b w:val="0"/>
              </w:rPr>
              <w:t>1</w:t>
            </w:r>
          </w:p>
        </w:tc>
      </w:tr>
      <w:tr w:rsidR="0018290B" w:rsidRPr="00EB1FE4" w:rsidTr="00BE1B1B">
        <w:trPr>
          <w:trHeight w:val="1517"/>
        </w:trPr>
        <w:tc>
          <w:tcPr>
            <w:tcW w:w="2268" w:type="dxa"/>
            <w:vMerge/>
            <w:shd w:val="clear" w:color="auto" w:fill="auto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EB1FE4" w:rsidRDefault="0018290B" w:rsidP="00EB1FE4">
            <w:pPr>
              <w:pStyle w:val="a5"/>
              <w:rPr>
                <w:b w:val="0"/>
              </w:rPr>
            </w:pPr>
            <w:r w:rsidRPr="00EB1FE4">
              <w:rPr>
                <w:b w:val="0"/>
              </w:rPr>
              <w:t xml:space="preserve">До 1 </w:t>
            </w:r>
            <w:proofErr w:type="spellStart"/>
            <w:r w:rsidRPr="00EB1FE4">
              <w:rPr>
                <w:b w:val="0"/>
              </w:rPr>
              <w:t>млн</w:t>
            </w:r>
            <w:proofErr w:type="spellEnd"/>
            <w:r w:rsidRPr="00EB1FE4">
              <w:rPr>
                <w:b w:val="0"/>
              </w:rPr>
              <w:t xml:space="preserve"> грн</w:t>
            </w:r>
          </w:p>
        </w:tc>
        <w:tc>
          <w:tcPr>
            <w:tcW w:w="1260" w:type="dxa"/>
          </w:tcPr>
          <w:p w:rsidR="0018290B" w:rsidRPr="00EB1FE4" w:rsidDel="009B5466" w:rsidRDefault="0018290B" w:rsidP="00EB1FE4">
            <w:pPr>
              <w:pStyle w:val="a5"/>
              <w:rPr>
                <w:b w:val="0"/>
              </w:rPr>
            </w:pPr>
            <w:r w:rsidRPr="00EB1FE4">
              <w:rPr>
                <w:b w:val="0"/>
              </w:rPr>
              <w:t>0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8290B" w:rsidRPr="00921A23" w:rsidRDefault="0018290B" w:rsidP="00EB74BD">
            <w:pPr>
              <w:ind w:left="0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sz w:val="26"/>
                <w:szCs w:val="26"/>
                <w:lang w:val="uk-UA"/>
              </w:rPr>
              <w:t>Для державних підприємств</w:t>
            </w:r>
          </w:p>
          <w:p w:rsidR="0018290B" w:rsidRPr="00B753C1" w:rsidRDefault="0018290B" w:rsidP="00B16C43">
            <w:pPr>
              <w:spacing w:before="0" w:after="0"/>
              <w:ind w:left="0" w:right="-108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bCs/>
                <w:color w:val="auto"/>
                <w:sz w:val="26"/>
                <w:szCs w:val="26"/>
                <w:lang w:val="uk-UA"/>
              </w:rPr>
              <w:t>Доход (виручка) від реалізації продукції (товарів, робіт, послуг):</w:t>
            </w:r>
          </w:p>
          <w:p w:rsidR="0018290B" w:rsidRPr="00B753C1" w:rsidRDefault="00B16C43" w:rsidP="00EB74BD">
            <w:pPr>
              <w:ind w:left="0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="0018290B" w:rsidRPr="00B753C1">
              <w:rPr>
                <w:rFonts w:ascii="Times New Roman" w:hAnsi="Times New Roman"/>
                <w:sz w:val="26"/>
                <w:szCs w:val="26"/>
                <w:lang w:val="uk-UA"/>
              </w:rPr>
              <w:t>віт про фінансові результати (</w:t>
            </w:r>
            <w:r w:rsidRPr="00B753C1">
              <w:rPr>
                <w:rFonts w:ascii="Times New Roman" w:hAnsi="Times New Roman"/>
                <w:sz w:val="26"/>
                <w:szCs w:val="26"/>
                <w:lang w:val="uk-UA"/>
              </w:rPr>
              <w:t>ф</w:t>
            </w:r>
            <w:r w:rsidR="0018290B" w:rsidRPr="00B753C1">
              <w:rPr>
                <w:rFonts w:ascii="Times New Roman" w:hAnsi="Times New Roman"/>
                <w:sz w:val="26"/>
                <w:szCs w:val="26"/>
                <w:lang w:val="uk-UA"/>
              </w:rPr>
              <w:t>орма № 2)</w:t>
            </w:r>
          </w:p>
          <w:p w:rsidR="0018290B" w:rsidRPr="00B753C1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8290B" w:rsidRPr="00B753C1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8290B" w:rsidRPr="00B753C1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sz w:val="26"/>
                <w:szCs w:val="26"/>
                <w:lang w:val="uk-UA"/>
              </w:rPr>
              <w:t>Чистий збиток</w:t>
            </w:r>
            <w:r w:rsidR="00B16C43" w:rsidRPr="00B753C1">
              <w:rPr>
                <w:rFonts w:ascii="Times New Roman" w:hAnsi="Times New Roman"/>
                <w:sz w:val="26"/>
                <w:szCs w:val="26"/>
                <w:lang w:val="uk-UA"/>
              </w:rPr>
              <w:t>:</w:t>
            </w:r>
          </w:p>
          <w:p w:rsidR="0018290B" w:rsidRPr="00B753C1" w:rsidRDefault="00B16C43" w:rsidP="00EB74BD">
            <w:pPr>
              <w:ind w:left="72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="0018290B" w:rsidRPr="00B753C1">
              <w:rPr>
                <w:rFonts w:ascii="Times New Roman" w:hAnsi="Times New Roman"/>
                <w:sz w:val="26"/>
                <w:szCs w:val="26"/>
                <w:lang w:val="uk-UA"/>
              </w:rPr>
              <w:t>віт про фінансові результати</w:t>
            </w:r>
            <w:r w:rsidRPr="00B753C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(ф</w:t>
            </w:r>
            <w:r w:rsidR="0018290B" w:rsidRPr="00B753C1">
              <w:rPr>
                <w:rFonts w:ascii="Times New Roman" w:hAnsi="Times New Roman"/>
                <w:sz w:val="26"/>
                <w:szCs w:val="26"/>
                <w:lang w:val="uk-UA"/>
              </w:rPr>
              <w:t>орма № 2)</w:t>
            </w:r>
          </w:p>
        </w:tc>
        <w:tc>
          <w:tcPr>
            <w:tcW w:w="2713" w:type="dxa"/>
            <w:shd w:val="clear" w:color="auto" w:fill="auto"/>
          </w:tcPr>
          <w:p w:rsidR="00CB4F8B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Прибуток понад</w:t>
            </w:r>
          </w:p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5 </w:t>
            </w:r>
            <w:proofErr w:type="spellStart"/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млн</w:t>
            </w:r>
            <w:proofErr w:type="spellEnd"/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 грн або</w:t>
            </w:r>
          </w:p>
          <w:p w:rsidR="00CB4F8B" w:rsidRDefault="007149BE" w:rsidP="007149BE">
            <w:pPr>
              <w:spacing w:before="0" w:after="0"/>
              <w:ind w:left="0" w:right="-88"/>
              <w:jc w:val="left"/>
              <w:rPr>
                <w:rFonts w:ascii="Times New Roman" w:hAnsi="Times New Roman"/>
                <w:color w:val="auto"/>
                <w:spacing w:val="-8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ч</w:t>
            </w:r>
            <w:r w:rsidR="0018290B"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истий збиток </w:t>
            </w:r>
            <w:r w:rsidR="0018290B" w:rsidRPr="00B753C1">
              <w:rPr>
                <w:rFonts w:ascii="Times New Roman" w:hAnsi="Times New Roman"/>
                <w:color w:val="auto"/>
                <w:spacing w:val="-8"/>
                <w:sz w:val="26"/>
                <w:szCs w:val="26"/>
                <w:lang w:val="uk-UA"/>
              </w:rPr>
              <w:t xml:space="preserve">понад </w:t>
            </w:r>
          </w:p>
          <w:p w:rsidR="007149BE" w:rsidRPr="00B753C1" w:rsidRDefault="0018290B" w:rsidP="007149BE">
            <w:pPr>
              <w:spacing w:before="0" w:after="0"/>
              <w:ind w:left="0" w:right="-88"/>
              <w:jc w:val="left"/>
              <w:rPr>
                <w:rFonts w:ascii="Times New Roman" w:hAnsi="Times New Roman"/>
                <w:color w:val="auto"/>
                <w:spacing w:val="-8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pacing w:val="-8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B753C1">
              <w:rPr>
                <w:rFonts w:ascii="Times New Roman" w:hAnsi="Times New Roman"/>
                <w:color w:val="auto"/>
                <w:spacing w:val="-8"/>
                <w:sz w:val="26"/>
                <w:szCs w:val="26"/>
                <w:lang w:val="uk-UA"/>
              </w:rPr>
              <w:t>млн</w:t>
            </w:r>
            <w:proofErr w:type="spellEnd"/>
            <w:r w:rsidR="007149BE" w:rsidRPr="00B753C1">
              <w:rPr>
                <w:rFonts w:ascii="Times New Roman" w:hAnsi="Times New Roman"/>
                <w:color w:val="auto"/>
                <w:spacing w:val="-8"/>
                <w:sz w:val="26"/>
                <w:szCs w:val="26"/>
                <w:lang w:val="uk-UA"/>
              </w:rPr>
              <w:t xml:space="preserve"> грн,</w:t>
            </w:r>
          </w:p>
          <w:p w:rsidR="007149BE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або </w:t>
            </w:r>
          </w:p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неподання фінансової звітності до </w:t>
            </w:r>
            <w:r w:rsidRPr="00B753C1"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  <w:t>Мінагрополітики</w:t>
            </w:r>
          </w:p>
        </w:tc>
        <w:tc>
          <w:tcPr>
            <w:tcW w:w="1260" w:type="dxa"/>
          </w:tcPr>
          <w:p w:rsidR="0018290B" w:rsidRPr="00B753C1" w:rsidRDefault="0018290B" w:rsidP="007149BE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18290B" w:rsidRPr="00B753C1" w:rsidTr="00EB74BD">
        <w:trPr>
          <w:trHeight w:val="701"/>
        </w:trPr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CB4F8B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Прибуток від 3 до </w:t>
            </w:r>
          </w:p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5 </w:t>
            </w:r>
            <w:proofErr w:type="spellStart"/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млн</w:t>
            </w:r>
            <w:proofErr w:type="spellEnd"/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 грн або</w:t>
            </w:r>
          </w:p>
          <w:p w:rsidR="00CB4F8B" w:rsidRDefault="007149BE" w:rsidP="007149BE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ч</w:t>
            </w:r>
            <w:r w:rsidR="0018290B"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истий збиток від </w:t>
            </w:r>
          </w:p>
          <w:p w:rsidR="0018290B" w:rsidRPr="00B753C1" w:rsidRDefault="0018290B" w:rsidP="007149BE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500 тисяч </w:t>
            </w:r>
            <w:r w:rsidRPr="00CB4F8B"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  <w:t xml:space="preserve">до 1 </w:t>
            </w:r>
            <w:proofErr w:type="spellStart"/>
            <w:r w:rsidRPr="00CB4F8B"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  <w:t>млн</w:t>
            </w:r>
            <w:proofErr w:type="spellEnd"/>
            <w:r w:rsidRPr="00CB4F8B"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  <w:t xml:space="preserve"> грн</w:t>
            </w:r>
          </w:p>
        </w:tc>
        <w:tc>
          <w:tcPr>
            <w:tcW w:w="1260" w:type="dxa"/>
          </w:tcPr>
          <w:p w:rsidR="0018290B" w:rsidRPr="00B753C1" w:rsidRDefault="0018290B" w:rsidP="007149BE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2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CB4F8B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Прибуток від 1 до </w:t>
            </w:r>
          </w:p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2 </w:t>
            </w:r>
            <w:proofErr w:type="spellStart"/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млн</w:t>
            </w:r>
            <w:proofErr w:type="spellEnd"/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 грн або</w:t>
            </w:r>
          </w:p>
          <w:p w:rsidR="0018290B" w:rsidRPr="00B753C1" w:rsidRDefault="007149BE" w:rsidP="00CB4F8B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ч</w:t>
            </w:r>
            <w:r w:rsidR="0018290B"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истий збиток від 100 до 500 тисяч грн</w:t>
            </w:r>
          </w:p>
        </w:tc>
        <w:tc>
          <w:tcPr>
            <w:tcW w:w="1260" w:type="dxa"/>
          </w:tcPr>
          <w:p w:rsidR="0018290B" w:rsidRPr="00B753C1" w:rsidRDefault="0018290B" w:rsidP="007149BE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7149BE">
            <w:pPr>
              <w:spacing w:before="0" w:after="0"/>
              <w:ind w:left="0" w:right="-88"/>
              <w:jc w:val="left"/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  <w:t xml:space="preserve">Прибуток до 1 </w:t>
            </w:r>
            <w:proofErr w:type="spellStart"/>
            <w:r w:rsidRPr="00B753C1"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  <w:t>млн</w:t>
            </w:r>
            <w:proofErr w:type="spellEnd"/>
            <w:r w:rsidRPr="00B753C1"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  <w:t xml:space="preserve"> грн або</w:t>
            </w:r>
          </w:p>
          <w:p w:rsidR="00CB4F8B" w:rsidRDefault="007149BE" w:rsidP="007149BE">
            <w:pPr>
              <w:spacing w:before="0" w:after="0"/>
              <w:ind w:left="0" w:right="-88"/>
              <w:jc w:val="left"/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  <w:t>ч</w:t>
            </w:r>
            <w:r w:rsidR="0018290B" w:rsidRPr="00B753C1"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  <w:t xml:space="preserve">истий збиток до </w:t>
            </w:r>
          </w:p>
          <w:p w:rsidR="0018290B" w:rsidRPr="00B753C1" w:rsidRDefault="0018290B" w:rsidP="007149BE">
            <w:pPr>
              <w:spacing w:before="0" w:after="0"/>
              <w:ind w:left="0" w:right="-88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  <w:t>100 тисяч грн</w:t>
            </w:r>
          </w:p>
        </w:tc>
        <w:tc>
          <w:tcPr>
            <w:tcW w:w="1260" w:type="dxa"/>
          </w:tcPr>
          <w:p w:rsidR="0018290B" w:rsidRPr="00B753C1" w:rsidRDefault="0018290B" w:rsidP="007149BE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0</w:t>
            </w:r>
          </w:p>
        </w:tc>
      </w:tr>
    </w:tbl>
    <w:p w:rsidR="00EB1FE4" w:rsidRDefault="00EB1FE4" w:rsidP="0018290B">
      <w:pPr>
        <w:spacing w:before="0" w:after="0"/>
        <w:ind w:left="0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18290B" w:rsidRPr="006D6FB3" w:rsidRDefault="0018290B" w:rsidP="00BE0E82">
      <w:pPr>
        <w:spacing w:before="0"/>
        <w:ind w:left="0"/>
        <w:rPr>
          <w:rFonts w:ascii="Times New Roman" w:hAnsi="Times New Roman"/>
          <w:bCs/>
          <w:sz w:val="26"/>
          <w:szCs w:val="26"/>
          <w:lang w:val="uk-UA"/>
        </w:rPr>
      </w:pPr>
      <w:r w:rsidRPr="006D6FB3">
        <w:rPr>
          <w:rFonts w:ascii="Times New Roman" w:hAnsi="Times New Roman"/>
          <w:bCs/>
          <w:sz w:val="26"/>
          <w:szCs w:val="26"/>
          <w:lang w:val="uk-UA"/>
        </w:rPr>
        <w:t>Фактор відбору 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19"/>
        <w:gridCol w:w="2713"/>
        <w:gridCol w:w="1260"/>
      </w:tblGrid>
      <w:tr w:rsidR="0018290B" w:rsidRPr="00B753C1" w:rsidTr="002E4183">
        <w:tc>
          <w:tcPr>
            <w:tcW w:w="2268" w:type="dxa"/>
            <w:vMerge w:val="restart"/>
            <w:shd w:val="clear" w:color="auto" w:fill="FFFFFF" w:themeFill="background1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Фактор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Джерело інформації</w:t>
            </w:r>
          </w:p>
        </w:tc>
        <w:tc>
          <w:tcPr>
            <w:tcW w:w="3973" w:type="dxa"/>
            <w:gridSpan w:val="2"/>
            <w:shd w:val="clear" w:color="auto" w:fill="FFFFFF" w:themeFill="background1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Критерій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Діапазон</w:t>
            </w:r>
          </w:p>
        </w:tc>
        <w:tc>
          <w:tcPr>
            <w:tcW w:w="1260" w:type="dxa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Шкала </w:t>
            </w:r>
          </w:p>
        </w:tc>
      </w:tr>
      <w:tr w:rsidR="0018290B" w:rsidRPr="00B753C1" w:rsidTr="00EB74BD">
        <w:tc>
          <w:tcPr>
            <w:tcW w:w="2268" w:type="dxa"/>
            <w:vMerge w:val="restart"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Складність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sz w:val="26"/>
                <w:szCs w:val="26"/>
                <w:lang w:val="uk-UA"/>
              </w:rPr>
              <w:t>Географічна дисперсія</w:t>
            </w:r>
          </w:p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sz w:val="26"/>
                <w:szCs w:val="26"/>
                <w:lang w:val="uk-UA"/>
              </w:rPr>
              <w:t>Організаційна структура юридичної особи</w:t>
            </w:r>
          </w:p>
        </w:tc>
        <w:tc>
          <w:tcPr>
            <w:tcW w:w="2713" w:type="dxa"/>
            <w:shd w:val="clear" w:color="auto" w:fill="auto"/>
          </w:tcPr>
          <w:p w:rsidR="00823917" w:rsidRDefault="0018290B" w:rsidP="00823917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Розташован</w:t>
            </w:r>
            <w:r w:rsidR="00514066"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е</w:t>
            </w: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/</w:t>
            </w:r>
          </w:p>
          <w:p w:rsidR="0018290B" w:rsidRPr="00921A23" w:rsidRDefault="00823917" w:rsidP="00823917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розосеред</w:t>
            </w: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жене</w:t>
            </w:r>
            <w:r w:rsidR="0018290B"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 більш ніж у 10 областях </w:t>
            </w:r>
          </w:p>
        </w:tc>
        <w:tc>
          <w:tcPr>
            <w:tcW w:w="1260" w:type="dxa"/>
          </w:tcPr>
          <w:p w:rsidR="0018290B" w:rsidRPr="00921A23" w:rsidRDefault="0018290B" w:rsidP="00514066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823917" w:rsidRDefault="0018290B" w:rsidP="00823917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Розташоване/</w:t>
            </w:r>
          </w:p>
          <w:p w:rsidR="0018290B" w:rsidRPr="00921A23" w:rsidRDefault="00823917" w:rsidP="00823917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highlight w:val="yellow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розосе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р</w:t>
            </w: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еджене</w:t>
            </w:r>
            <w:r w:rsidR="0018290B"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 у 5</w:t>
            </w:r>
            <w:r w:rsidR="00514066"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–</w:t>
            </w:r>
            <w:r w:rsidR="0018290B"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10 областях </w:t>
            </w:r>
          </w:p>
        </w:tc>
        <w:tc>
          <w:tcPr>
            <w:tcW w:w="1260" w:type="dxa"/>
          </w:tcPr>
          <w:p w:rsidR="0018290B" w:rsidRPr="00921A23" w:rsidRDefault="0018290B" w:rsidP="00514066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2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823917" w:rsidRDefault="0018290B" w:rsidP="00514066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Розташоване/</w:t>
            </w:r>
          </w:p>
          <w:p w:rsidR="0018290B" w:rsidRPr="00921A23" w:rsidRDefault="0018290B" w:rsidP="00514066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highlight w:val="yellow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розосереджене у </w:t>
            </w:r>
            <w:r w:rsidR="00514066"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1–5 областях</w:t>
            </w:r>
          </w:p>
        </w:tc>
        <w:tc>
          <w:tcPr>
            <w:tcW w:w="1260" w:type="dxa"/>
          </w:tcPr>
          <w:p w:rsidR="0018290B" w:rsidRPr="00921A23" w:rsidRDefault="0018290B" w:rsidP="00514066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823917" w:rsidRDefault="0018290B" w:rsidP="00514066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Розташоване/</w:t>
            </w:r>
          </w:p>
          <w:p w:rsidR="0018290B" w:rsidRPr="00921A23" w:rsidRDefault="0018290B" w:rsidP="00514066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highlight w:val="yellow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розосереджене </w:t>
            </w:r>
            <w:r w:rsidR="00514066"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у</w:t>
            </w: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 1 област</w:t>
            </w:r>
            <w:r w:rsidR="00514066"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і</w:t>
            </w:r>
          </w:p>
        </w:tc>
        <w:tc>
          <w:tcPr>
            <w:tcW w:w="1260" w:type="dxa"/>
          </w:tcPr>
          <w:p w:rsidR="0018290B" w:rsidRPr="00921A23" w:rsidDel="009B5466" w:rsidRDefault="0018290B" w:rsidP="00514066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0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8290B" w:rsidRPr="00921A23" w:rsidRDefault="0018290B" w:rsidP="00BE1B1B">
            <w:pPr>
              <w:spacing w:after="0"/>
              <w:ind w:left="74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sz w:val="26"/>
                <w:szCs w:val="26"/>
                <w:lang w:val="uk-UA"/>
              </w:rPr>
              <w:t>Кількість працівників</w:t>
            </w:r>
          </w:p>
          <w:p w:rsidR="0018290B" w:rsidRPr="00921A23" w:rsidRDefault="0018290B" w:rsidP="00BE1B1B">
            <w:pPr>
              <w:spacing w:after="0"/>
              <w:ind w:left="74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sz w:val="26"/>
                <w:szCs w:val="26"/>
                <w:lang w:val="uk-UA"/>
              </w:rPr>
              <w:t>Штатні розписи, акти систематизації, внутрішні положення, дані відділу кадрів тощо</w:t>
            </w:r>
          </w:p>
        </w:tc>
        <w:tc>
          <w:tcPr>
            <w:tcW w:w="2713" w:type="dxa"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Понад 500 працівників</w:t>
            </w:r>
          </w:p>
        </w:tc>
        <w:tc>
          <w:tcPr>
            <w:tcW w:w="1260" w:type="dxa"/>
          </w:tcPr>
          <w:p w:rsidR="0018290B" w:rsidRPr="00921A23" w:rsidRDefault="0018290B" w:rsidP="00514066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921A23" w:rsidRDefault="0018290B" w:rsidP="00BE1B1B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highlight w:val="yellow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Від 100 до 500</w:t>
            </w:r>
            <w:r w:rsidR="00514066"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прац</w:t>
            </w:r>
            <w:r w:rsidR="00BE1B1B"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і</w:t>
            </w: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вників</w:t>
            </w:r>
          </w:p>
        </w:tc>
        <w:tc>
          <w:tcPr>
            <w:tcW w:w="1260" w:type="dxa"/>
          </w:tcPr>
          <w:p w:rsidR="0018290B" w:rsidRPr="00921A23" w:rsidRDefault="0018290B" w:rsidP="00514066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2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highlight w:val="yellow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Від 20 до 100 працівників</w:t>
            </w:r>
          </w:p>
        </w:tc>
        <w:tc>
          <w:tcPr>
            <w:tcW w:w="1260" w:type="dxa"/>
          </w:tcPr>
          <w:p w:rsidR="0018290B" w:rsidRPr="00921A23" w:rsidRDefault="0018290B" w:rsidP="00514066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18290B" w:rsidRPr="00B753C1" w:rsidTr="00BE1B1B">
        <w:trPr>
          <w:trHeight w:val="609"/>
        </w:trPr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highlight w:val="yellow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До 20 працівників</w:t>
            </w:r>
          </w:p>
        </w:tc>
        <w:tc>
          <w:tcPr>
            <w:tcW w:w="1260" w:type="dxa"/>
          </w:tcPr>
          <w:p w:rsidR="0018290B" w:rsidRPr="00921A23" w:rsidRDefault="0018290B" w:rsidP="00514066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0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sz w:val="26"/>
                <w:szCs w:val="26"/>
                <w:lang w:val="uk-UA"/>
              </w:rPr>
              <w:t>Плинність кадрів</w:t>
            </w:r>
          </w:p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Зміни у керівних та ключових посадах </w:t>
            </w:r>
          </w:p>
        </w:tc>
        <w:tc>
          <w:tcPr>
            <w:tcW w:w="2713" w:type="dxa"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Більше 1 зміни за останній рік </w:t>
            </w:r>
          </w:p>
        </w:tc>
        <w:tc>
          <w:tcPr>
            <w:tcW w:w="1260" w:type="dxa"/>
          </w:tcPr>
          <w:p w:rsidR="0018290B" w:rsidRPr="00921A23" w:rsidRDefault="0018290B" w:rsidP="00514066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Більше 1 зміни протягом останніх 2-х років </w:t>
            </w:r>
          </w:p>
        </w:tc>
        <w:tc>
          <w:tcPr>
            <w:tcW w:w="1260" w:type="dxa"/>
          </w:tcPr>
          <w:p w:rsidR="0018290B" w:rsidRPr="00921A23" w:rsidRDefault="0018290B" w:rsidP="00514066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2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921A23" w:rsidRDefault="0018290B" w:rsidP="00BE1B1B">
            <w:pPr>
              <w:spacing w:before="0" w:after="0"/>
              <w:ind w:left="0" w:right="-88"/>
              <w:jc w:val="left"/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  <w:t xml:space="preserve">Більше 1 зміни за останні 3 роки </w:t>
            </w:r>
          </w:p>
        </w:tc>
        <w:tc>
          <w:tcPr>
            <w:tcW w:w="1260" w:type="dxa"/>
          </w:tcPr>
          <w:p w:rsidR="0018290B" w:rsidRPr="00921A23" w:rsidRDefault="0018290B" w:rsidP="00514066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Ніяких змін протягом останніх 4-х років </w:t>
            </w:r>
          </w:p>
        </w:tc>
        <w:tc>
          <w:tcPr>
            <w:tcW w:w="1260" w:type="dxa"/>
          </w:tcPr>
          <w:p w:rsidR="0018290B" w:rsidRPr="00921A23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0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sz w:val="26"/>
                <w:szCs w:val="26"/>
                <w:lang w:val="uk-UA"/>
              </w:rPr>
              <w:t>Чутливість теми/Репутація</w:t>
            </w:r>
          </w:p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sz w:val="26"/>
                <w:szCs w:val="26"/>
                <w:lang w:val="uk-UA"/>
              </w:rPr>
              <w:t>Пошук в Інтернеті та дані відділу управління персоналом</w:t>
            </w:r>
          </w:p>
        </w:tc>
        <w:tc>
          <w:tcPr>
            <w:tcW w:w="2713" w:type="dxa"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Щорічна тема в засобах масової інформації</w:t>
            </w:r>
          </w:p>
        </w:tc>
        <w:tc>
          <w:tcPr>
            <w:tcW w:w="1260" w:type="dxa"/>
          </w:tcPr>
          <w:p w:rsidR="0018290B" w:rsidRPr="00921A23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Більше 3 висвітлень в засобах масової інформації за останній рік</w:t>
            </w:r>
          </w:p>
        </w:tc>
        <w:tc>
          <w:tcPr>
            <w:tcW w:w="1260" w:type="dxa"/>
          </w:tcPr>
          <w:p w:rsidR="0018290B" w:rsidRPr="00921A23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2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921A23" w:rsidRDefault="00BE1B1B" w:rsidP="00BE1B1B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1–2 </w:t>
            </w:r>
            <w:r w:rsidR="0018290B"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висвітлення в засобах масової інформації</w:t>
            </w:r>
          </w:p>
        </w:tc>
        <w:tc>
          <w:tcPr>
            <w:tcW w:w="1260" w:type="dxa"/>
          </w:tcPr>
          <w:p w:rsidR="0018290B" w:rsidRPr="00921A23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18290B" w:rsidRPr="00B753C1" w:rsidTr="00EB74BD">
        <w:trPr>
          <w:trHeight w:val="704"/>
        </w:trPr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921A23" w:rsidRDefault="0018290B" w:rsidP="00EB74BD">
            <w:pPr>
              <w:ind w:left="72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Інформація в засобах масової інформації відсутня</w:t>
            </w:r>
          </w:p>
        </w:tc>
        <w:tc>
          <w:tcPr>
            <w:tcW w:w="1260" w:type="dxa"/>
          </w:tcPr>
          <w:p w:rsidR="0018290B" w:rsidRPr="00921A23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0</w:t>
            </w:r>
          </w:p>
        </w:tc>
      </w:tr>
    </w:tbl>
    <w:p w:rsidR="0018290B" w:rsidRPr="006D6FB3" w:rsidRDefault="0018290B" w:rsidP="00912FA7">
      <w:pPr>
        <w:ind w:left="0"/>
        <w:rPr>
          <w:rFonts w:ascii="Times New Roman" w:hAnsi="Times New Roman"/>
          <w:bCs/>
          <w:sz w:val="26"/>
          <w:szCs w:val="26"/>
          <w:lang w:val="uk-UA"/>
        </w:rPr>
      </w:pPr>
      <w:r w:rsidRPr="006D6FB3">
        <w:rPr>
          <w:rFonts w:ascii="Times New Roman" w:hAnsi="Times New Roman"/>
          <w:bCs/>
          <w:sz w:val="26"/>
          <w:szCs w:val="26"/>
          <w:lang w:val="uk-UA"/>
        </w:rPr>
        <w:t>Фактор відбору 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19"/>
        <w:gridCol w:w="2713"/>
        <w:gridCol w:w="1260"/>
      </w:tblGrid>
      <w:tr w:rsidR="0018290B" w:rsidRPr="00921A23" w:rsidTr="002E4183">
        <w:tc>
          <w:tcPr>
            <w:tcW w:w="2268" w:type="dxa"/>
            <w:vMerge w:val="restart"/>
            <w:shd w:val="clear" w:color="auto" w:fill="FFFFFF" w:themeFill="background1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Фактор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Джерело інформації</w:t>
            </w:r>
          </w:p>
        </w:tc>
        <w:tc>
          <w:tcPr>
            <w:tcW w:w="3973" w:type="dxa"/>
            <w:gridSpan w:val="2"/>
            <w:shd w:val="clear" w:color="auto" w:fill="FFFFFF" w:themeFill="background1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Критерій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Діапазон</w:t>
            </w:r>
          </w:p>
        </w:tc>
        <w:tc>
          <w:tcPr>
            <w:tcW w:w="1260" w:type="dxa"/>
          </w:tcPr>
          <w:p w:rsidR="0018290B" w:rsidRPr="00B753C1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Шкала</w:t>
            </w:r>
          </w:p>
        </w:tc>
      </w:tr>
      <w:tr w:rsidR="0018290B" w:rsidRPr="00B753C1" w:rsidTr="00EB74BD">
        <w:tc>
          <w:tcPr>
            <w:tcW w:w="2268" w:type="dxa"/>
            <w:vMerge w:val="restart"/>
            <w:shd w:val="clear" w:color="auto" w:fill="auto"/>
          </w:tcPr>
          <w:p w:rsidR="0018290B" w:rsidRPr="00921A23" w:rsidRDefault="0018290B" w:rsidP="00AE518D">
            <w:pPr>
              <w:spacing w:before="0" w:after="0"/>
              <w:ind w:left="0" w:right="-108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Час з моменту </w:t>
            </w:r>
            <w:r w:rsidR="00AE518D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проведення </w:t>
            </w: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останнього </w:t>
            </w:r>
            <w:r w:rsidRPr="00921A23">
              <w:rPr>
                <w:rFonts w:ascii="Times New Roman" w:hAnsi="Times New Roman"/>
                <w:color w:val="auto"/>
                <w:spacing w:val="-4"/>
                <w:sz w:val="26"/>
                <w:szCs w:val="26"/>
                <w:lang w:val="uk-UA"/>
              </w:rPr>
              <w:t>аудиту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8290B" w:rsidRPr="00B753C1" w:rsidRDefault="0018290B" w:rsidP="00553338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Заходи з контролю, що проводяться іншими ко</w:t>
            </w:r>
            <w:r w:rsidR="00FE08A8"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нтролюючими органами (Державна </w:t>
            </w: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аудит</w:t>
            </w:r>
            <w:r w:rsidR="00FE08A8"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орська служба</w:t>
            </w: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, Рахункова палата тощо)</w:t>
            </w: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Ніколи не проводилися заходи контролю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Протягом 3-х років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2</w:t>
            </w:r>
          </w:p>
        </w:tc>
      </w:tr>
      <w:tr w:rsidR="0018290B" w:rsidRPr="00B753C1" w:rsidTr="00EB74BD">
        <w:trPr>
          <w:trHeight w:val="141"/>
        </w:trPr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Протягом 2-х років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18290B" w:rsidRPr="00B753C1" w:rsidTr="00EB74BD">
        <w:trPr>
          <w:trHeight w:val="140"/>
        </w:trPr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Поточний рік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0</w:t>
            </w:r>
          </w:p>
        </w:tc>
      </w:tr>
      <w:tr w:rsidR="0018290B" w:rsidRPr="00B753C1" w:rsidTr="00EB74BD">
        <w:trPr>
          <w:trHeight w:val="234"/>
        </w:trPr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Заходи з внутрішнього аудиту</w:t>
            </w: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Ніколи не проводилися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18290B" w:rsidRPr="00B753C1" w:rsidTr="00EB74BD">
        <w:trPr>
          <w:trHeight w:val="33"/>
        </w:trPr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Протягом 3-х років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2</w:t>
            </w:r>
          </w:p>
        </w:tc>
      </w:tr>
      <w:tr w:rsidR="0018290B" w:rsidRPr="00B753C1" w:rsidTr="00EB74BD">
        <w:trPr>
          <w:trHeight w:val="33"/>
        </w:trPr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Протягом 2-х років 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18290B" w:rsidRPr="00B753C1" w:rsidTr="00EB74BD">
        <w:trPr>
          <w:trHeight w:val="33"/>
        </w:trPr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Поточний рік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0</w:t>
            </w:r>
          </w:p>
        </w:tc>
      </w:tr>
    </w:tbl>
    <w:p w:rsidR="00A45030" w:rsidRDefault="00A45030" w:rsidP="00912FA7">
      <w:pPr>
        <w:ind w:left="0"/>
        <w:rPr>
          <w:rFonts w:ascii="Times New Roman" w:hAnsi="Times New Roman"/>
          <w:bCs/>
          <w:sz w:val="26"/>
          <w:szCs w:val="26"/>
          <w:lang w:val="uk-UA"/>
        </w:rPr>
      </w:pPr>
    </w:p>
    <w:p w:rsidR="0018290B" w:rsidRPr="006D6FB3" w:rsidRDefault="0018290B" w:rsidP="00912FA7">
      <w:pPr>
        <w:ind w:left="0"/>
        <w:rPr>
          <w:rFonts w:ascii="Times New Roman" w:hAnsi="Times New Roman"/>
          <w:bCs/>
          <w:sz w:val="26"/>
          <w:szCs w:val="26"/>
          <w:lang w:val="uk-UA"/>
        </w:rPr>
      </w:pPr>
      <w:r w:rsidRPr="006D6FB3">
        <w:rPr>
          <w:rFonts w:ascii="Times New Roman" w:hAnsi="Times New Roman"/>
          <w:bCs/>
          <w:sz w:val="26"/>
          <w:szCs w:val="26"/>
          <w:lang w:val="uk-UA"/>
        </w:rPr>
        <w:lastRenderedPageBreak/>
        <w:t>Фактор відбору 4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19"/>
        <w:gridCol w:w="2713"/>
        <w:gridCol w:w="1260"/>
      </w:tblGrid>
      <w:tr w:rsidR="0018290B" w:rsidRPr="00B753C1" w:rsidTr="002E4183">
        <w:tc>
          <w:tcPr>
            <w:tcW w:w="2268" w:type="dxa"/>
            <w:vMerge w:val="restart"/>
            <w:shd w:val="clear" w:color="auto" w:fill="FFFFFF" w:themeFill="background1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Фактор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Джерело інформації</w:t>
            </w:r>
          </w:p>
        </w:tc>
        <w:tc>
          <w:tcPr>
            <w:tcW w:w="3973" w:type="dxa"/>
            <w:gridSpan w:val="2"/>
            <w:shd w:val="clear" w:color="auto" w:fill="FFFFFF" w:themeFill="background1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Критерій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Діапазон</w:t>
            </w:r>
          </w:p>
        </w:tc>
        <w:tc>
          <w:tcPr>
            <w:tcW w:w="1260" w:type="dxa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Шкала</w:t>
            </w:r>
          </w:p>
        </w:tc>
      </w:tr>
      <w:tr w:rsidR="0018290B" w:rsidRPr="00B753C1" w:rsidTr="00EB74BD">
        <w:trPr>
          <w:trHeight w:val="106"/>
        </w:trPr>
        <w:tc>
          <w:tcPr>
            <w:tcW w:w="2268" w:type="dxa"/>
            <w:vMerge w:val="restart"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Думка (бачення) керівництва</w:t>
            </w:r>
          </w:p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Повідомлення з боку відповідального керівництва про включення об</w:t>
            </w:r>
            <w:r w:rsidR="00BE1B1B" w:rsidRPr="00B753C1">
              <w:rPr>
                <w:rFonts w:ascii="Times New Roman" w:hAnsi="Times New Roman"/>
                <w:sz w:val="26"/>
                <w:szCs w:val="26"/>
                <w:lang w:val="ru-RU"/>
              </w:rPr>
              <w:t>’</w:t>
            </w:r>
            <w:proofErr w:type="spellStart"/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єкта</w:t>
            </w:r>
            <w:proofErr w:type="spellEnd"/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 аудиту в План аудиту</w:t>
            </w: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Відповідальне керівництво розглядає об</w:t>
            </w:r>
            <w:r w:rsidR="00BE1B1B" w:rsidRPr="00B753C1">
              <w:rPr>
                <w:rFonts w:ascii="Times New Roman" w:hAnsi="Times New Roman"/>
                <w:sz w:val="26"/>
                <w:szCs w:val="26"/>
                <w:lang w:val="uk-UA"/>
              </w:rPr>
              <w:t>’</w:t>
            </w: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єкт аудиту як зону підвищеного ризику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18290B" w:rsidRPr="00B753C1" w:rsidTr="00EB74BD">
        <w:trPr>
          <w:trHeight w:val="103"/>
        </w:trPr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Відповідальне керівництво вважає об</w:t>
            </w:r>
            <w:r w:rsidR="00BE1B1B" w:rsidRPr="00B753C1">
              <w:rPr>
                <w:rFonts w:ascii="Times New Roman" w:hAnsi="Times New Roman"/>
                <w:sz w:val="26"/>
                <w:szCs w:val="26"/>
                <w:lang w:val="uk-UA"/>
              </w:rPr>
              <w:t>’</w:t>
            </w: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єкт аудиту зоною середнього ризику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2</w:t>
            </w:r>
          </w:p>
        </w:tc>
      </w:tr>
      <w:tr w:rsidR="0018290B" w:rsidRPr="00B753C1" w:rsidTr="00EB74BD">
        <w:trPr>
          <w:trHeight w:val="103"/>
        </w:trPr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Відповідальне керівництво вважає об</w:t>
            </w:r>
            <w:r w:rsidR="00BE1B1B" w:rsidRPr="00B753C1">
              <w:rPr>
                <w:rFonts w:ascii="Times New Roman" w:hAnsi="Times New Roman"/>
                <w:sz w:val="26"/>
                <w:szCs w:val="26"/>
                <w:lang w:val="uk-UA"/>
              </w:rPr>
              <w:t>’</w:t>
            </w: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єкт аудиту зоною низького ризику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18290B" w:rsidRPr="00B753C1" w:rsidTr="00EB74BD">
        <w:trPr>
          <w:trHeight w:val="103"/>
        </w:trPr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Відповідальне керівництво не вважає об</w:t>
            </w:r>
            <w:r w:rsidR="00BE1B1B" w:rsidRPr="00B753C1">
              <w:rPr>
                <w:rFonts w:ascii="Times New Roman" w:hAnsi="Times New Roman"/>
                <w:sz w:val="26"/>
                <w:szCs w:val="26"/>
                <w:lang w:val="uk-UA"/>
              </w:rPr>
              <w:t>’</w:t>
            </w: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єкт аудиту зоною ризику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0</w:t>
            </w:r>
          </w:p>
        </w:tc>
      </w:tr>
    </w:tbl>
    <w:p w:rsidR="0018290B" w:rsidRPr="006D6FB3" w:rsidRDefault="0018290B" w:rsidP="00912FA7">
      <w:pPr>
        <w:ind w:left="0"/>
        <w:rPr>
          <w:rFonts w:ascii="Times New Roman" w:hAnsi="Times New Roman"/>
          <w:bCs/>
          <w:sz w:val="26"/>
          <w:szCs w:val="26"/>
          <w:lang w:val="uk-UA"/>
        </w:rPr>
      </w:pPr>
      <w:r w:rsidRPr="006D6FB3">
        <w:rPr>
          <w:rFonts w:ascii="Times New Roman" w:hAnsi="Times New Roman"/>
          <w:bCs/>
          <w:sz w:val="26"/>
          <w:szCs w:val="26"/>
          <w:lang w:val="uk-UA"/>
        </w:rPr>
        <w:t>Фактор відбору 5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19"/>
        <w:gridCol w:w="2713"/>
        <w:gridCol w:w="1260"/>
      </w:tblGrid>
      <w:tr w:rsidR="0018290B" w:rsidRPr="00B753C1" w:rsidTr="002E4183">
        <w:tc>
          <w:tcPr>
            <w:tcW w:w="2268" w:type="dxa"/>
            <w:vMerge w:val="restart"/>
            <w:shd w:val="clear" w:color="auto" w:fill="FFFFFF" w:themeFill="background1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Фактор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Джерело інформації</w:t>
            </w:r>
          </w:p>
        </w:tc>
        <w:tc>
          <w:tcPr>
            <w:tcW w:w="3973" w:type="dxa"/>
            <w:gridSpan w:val="2"/>
            <w:shd w:val="clear" w:color="auto" w:fill="FFFFFF" w:themeFill="background1"/>
          </w:tcPr>
          <w:p w:rsidR="0018290B" w:rsidRPr="00921A23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Критерій</w:t>
            </w:r>
          </w:p>
        </w:tc>
      </w:tr>
      <w:tr w:rsidR="0018290B" w:rsidRPr="00B753C1" w:rsidTr="00EB74BD"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Діапазон</w:t>
            </w:r>
          </w:p>
        </w:tc>
        <w:tc>
          <w:tcPr>
            <w:tcW w:w="1260" w:type="dxa"/>
          </w:tcPr>
          <w:p w:rsidR="0018290B" w:rsidRPr="00B753C1" w:rsidRDefault="0018290B" w:rsidP="00EB74BD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Шкала</w:t>
            </w:r>
          </w:p>
        </w:tc>
      </w:tr>
      <w:tr w:rsidR="0018290B" w:rsidRPr="00B753C1" w:rsidTr="00EB74BD">
        <w:trPr>
          <w:trHeight w:val="35"/>
        </w:trPr>
        <w:tc>
          <w:tcPr>
            <w:tcW w:w="2268" w:type="dxa"/>
            <w:vMerge w:val="restart"/>
            <w:shd w:val="clear" w:color="auto" w:fill="auto"/>
          </w:tcPr>
          <w:p w:rsidR="0018290B" w:rsidRPr="00921A23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921A23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Скарги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Інформація про кількість скарг </w:t>
            </w:r>
            <w:r w:rsidR="009533A5"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і</w:t>
            </w: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з різних джерел </w:t>
            </w: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Більше 3</w:t>
            </w:r>
            <w:r w:rsidR="00EB74BD"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 скарг  протягом останніх 2-</w:t>
            </w: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х років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3</w:t>
            </w:r>
          </w:p>
        </w:tc>
      </w:tr>
      <w:tr w:rsidR="0018290B" w:rsidRPr="00B753C1" w:rsidTr="00EB74BD">
        <w:trPr>
          <w:trHeight w:val="33"/>
        </w:trPr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FE08A8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2 скарги</w:t>
            </w:r>
            <w:r w:rsidR="00EB74BD"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 протягом останніх 2</w:t>
            </w:r>
            <w:r w:rsidR="00FE08A8"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-</w:t>
            </w: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х років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2</w:t>
            </w:r>
          </w:p>
        </w:tc>
      </w:tr>
      <w:tr w:rsidR="0018290B" w:rsidRPr="00B753C1" w:rsidTr="00EB74BD">
        <w:trPr>
          <w:trHeight w:val="33"/>
        </w:trPr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1 скарга протягом останніх 2-х років 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1</w:t>
            </w:r>
          </w:p>
        </w:tc>
      </w:tr>
      <w:tr w:rsidR="0018290B" w:rsidRPr="00B753C1" w:rsidTr="00EB74BD">
        <w:trPr>
          <w:trHeight w:val="33"/>
        </w:trPr>
        <w:tc>
          <w:tcPr>
            <w:tcW w:w="2268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290B" w:rsidRPr="00B753C1" w:rsidRDefault="0018290B" w:rsidP="00EB74BD">
            <w:pPr>
              <w:spacing w:before="0" w:after="0"/>
              <w:ind w:left="0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13" w:type="dxa"/>
            <w:shd w:val="clear" w:color="auto" w:fill="auto"/>
          </w:tcPr>
          <w:p w:rsidR="0018290B" w:rsidRPr="00B753C1" w:rsidRDefault="0018290B" w:rsidP="00FE08A8">
            <w:pPr>
              <w:spacing w:before="0" w:after="0"/>
              <w:ind w:left="0"/>
              <w:jc w:val="left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Скарг</w:t>
            </w:r>
            <w:r w:rsidR="00FE08A8"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и відсутні</w:t>
            </w:r>
          </w:p>
        </w:tc>
        <w:tc>
          <w:tcPr>
            <w:tcW w:w="1260" w:type="dxa"/>
            <w:shd w:val="clear" w:color="auto" w:fill="auto"/>
          </w:tcPr>
          <w:p w:rsidR="0018290B" w:rsidRPr="00B753C1" w:rsidRDefault="0018290B" w:rsidP="00BE1B1B">
            <w:pPr>
              <w:spacing w:before="0" w:after="0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</w:pPr>
            <w:r w:rsidRPr="00B753C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0</w:t>
            </w:r>
          </w:p>
        </w:tc>
      </w:tr>
    </w:tbl>
    <w:p w:rsidR="00D41332" w:rsidRPr="00B753C1" w:rsidRDefault="00D41332" w:rsidP="009107FB">
      <w:pPr>
        <w:pStyle w:val="2"/>
        <w:ind w:firstLine="0"/>
        <w:jc w:val="both"/>
        <w:rPr>
          <w:sz w:val="26"/>
          <w:szCs w:val="26"/>
        </w:rPr>
      </w:pPr>
    </w:p>
    <w:sectPr w:rsidR="00D41332" w:rsidRPr="00B753C1" w:rsidSect="00BE1B1B">
      <w:headerReference w:type="default" r:id="rId7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8B" w:rsidRDefault="00CB4F8B" w:rsidP="0018290B">
      <w:pPr>
        <w:spacing w:before="0" w:after="0"/>
      </w:pPr>
      <w:r>
        <w:separator/>
      </w:r>
    </w:p>
  </w:endnote>
  <w:endnote w:type="continuationSeparator" w:id="0">
    <w:p w:rsidR="00CB4F8B" w:rsidRDefault="00CB4F8B" w:rsidP="0018290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8B" w:rsidRDefault="00CB4F8B" w:rsidP="0018290B">
      <w:pPr>
        <w:spacing w:before="0" w:after="0"/>
      </w:pPr>
      <w:r>
        <w:separator/>
      </w:r>
    </w:p>
  </w:footnote>
  <w:footnote w:type="continuationSeparator" w:id="0">
    <w:p w:rsidR="00CB4F8B" w:rsidRDefault="00CB4F8B" w:rsidP="0018290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0893"/>
      <w:docPartObj>
        <w:docPartGallery w:val="Page Numbers (Top of Page)"/>
        <w:docPartUnique/>
      </w:docPartObj>
    </w:sdtPr>
    <w:sdtContent>
      <w:p w:rsidR="00CB4F8B" w:rsidRDefault="00CB4F8B">
        <w:pPr>
          <w:pStyle w:val="a9"/>
          <w:jc w:val="center"/>
        </w:pPr>
        <w:r w:rsidRPr="00514066">
          <w:rPr>
            <w:rFonts w:ascii="Times New Roman" w:hAnsi="Times New Roman"/>
          </w:rPr>
          <w:fldChar w:fldCharType="begin"/>
        </w:r>
        <w:r w:rsidRPr="00514066">
          <w:rPr>
            <w:rFonts w:ascii="Times New Roman" w:hAnsi="Times New Roman"/>
          </w:rPr>
          <w:instrText xml:space="preserve"> PAGE   \* MERGEFORMAT </w:instrText>
        </w:r>
        <w:r w:rsidRPr="0051406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514066">
          <w:rPr>
            <w:rFonts w:ascii="Times New Roman" w:hAnsi="Times New Roman"/>
          </w:rPr>
          <w:fldChar w:fldCharType="end"/>
        </w:r>
      </w:p>
    </w:sdtContent>
  </w:sdt>
  <w:p w:rsidR="00CB4F8B" w:rsidRPr="00EB74BD" w:rsidRDefault="00CB4F8B" w:rsidP="00EB74BD">
    <w:pPr>
      <w:pStyle w:val="a9"/>
      <w:jc w:val="right"/>
      <w:rPr>
        <w:rFonts w:ascii="Times New Roman" w:hAnsi="Times New Roman"/>
        <w:sz w:val="28"/>
        <w:szCs w:val="28"/>
        <w:lang w:val="uk-UA"/>
      </w:rPr>
    </w:pPr>
    <w:r w:rsidRPr="00EB74BD">
      <w:rPr>
        <w:rFonts w:ascii="Times New Roman" w:hAnsi="Times New Roman"/>
        <w:sz w:val="28"/>
        <w:szCs w:val="28"/>
        <w:lang w:val="uk-UA"/>
      </w:rPr>
      <w:t>Продовження додатк</w:t>
    </w:r>
    <w:r>
      <w:rPr>
        <w:rFonts w:ascii="Times New Roman" w:hAnsi="Times New Roman"/>
        <w:sz w:val="28"/>
        <w:szCs w:val="28"/>
        <w:lang w:val="uk-UA"/>
      </w:rPr>
      <w:t>а</w:t>
    </w:r>
    <w:r w:rsidRPr="00EB74BD">
      <w:rPr>
        <w:rFonts w:ascii="Times New Roman" w:hAnsi="Times New Roman"/>
        <w:sz w:val="28"/>
        <w:szCs w:val="28"/>
        <w:lang w:val="uk-UA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1EDE"/>
    <w:multiLevelType w:val="hybridMultilevel"/>
    <w:tmpl w:val="C136E6E0"/>
    <w:lvl w:ilvl="0" w:tplc="A4FA9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D7A03"/>
    <w:multiLevelType w:val="hybridMultilevel"/>
    <w:tmpl w:val="D5442EAE"/>
    <w:lvl w:ilvl="0" w:tplc="AB880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B3C2C"/>
    <w:multiLevelType w:val="hybridMultilevel"/>
    <w:tmpl w:val="0C348CCA"/>
    <w:lvl w:ilvl="0" w:tplc="3D3EF80E">
      <w:start w:val="1"/>
      <w:numFmt w:val="bullet"/>
      <w:pStyle w:val="a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E062A"/>
    <w:multiLevelType w:val="hybridMultilevel"/>
    <w:tmpl w:val="9EB89E08"/>
    <w:lvl w:ilvl="0" w:tplc="F7BEF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955E3"/>
    <w:multiLevelType w:val="hybridMultilevel"/>
    <w:tmpl w:val="17A8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90B"/>
    <w:rsid w:val="00063B84"/>
    <w:rsid w:val="000670CF"/>
    <w:rsid w:val="001212AF"/>
    <w:rsid w:val="0018290B"/>
    <w:rsid w:val="00276B35"/>
    <w:rsid w:val="002D6296"/>
    <w:rsid w:val="002E4183"/>
    <w:rsid w:val="004C416F"/>
    <w:rsid w:val="004E58DC"/>
    <w:rsid w:val="00514066"/>
    <w:rsid w:val="00553338"/>
    <w:rsid w:val="00675BC4"/>
    <w:rsid w:val="006D6FB3"/>
    <w:rsid w:val="006E1133"/>
    <w:rsid w:val="007149BE"/>
    <w:rsid w:val="00777987"/>
    <w:rsid w:val="00823917"/>
    <w:rsid w:val="008B3268"/>
    <w:rsid w:val="008B6425"/>
    <w:rsid w:val="00900693"/>
    <w:rsid w:val="009107FB"/>
    <w:rsid w:val="00912FA7"/>
    <w:rsid w:val="00921A23"/>
    <w:rsid w:val="009533A5"/>
    <w:rsid w:val="009D6593"/>
    <w:rsid w:val="00A20A09"/>
    <w:rsid w:val="00A45030"/>
    <w:rsid w:val="00A46E6B"/>
    <w:rsid w:val="00AA242C"/>
    <w:rsid w:val="00AA6DCC"/>
    <w:rsid w:val="00AE518D"/>
    <w:rsid w:val="00B16C43"/>
    <w:rsid w:val="00B630AF"/>
    <w:rsid w:val="00B753C1"/>
    <w:rsid w:val="00BE0E82"/>
    <w:rsid w:val="00BE1B1B"/>
    <w:rsid w:val="00C31434"/>
    <w:rsid w:val="00CB4F8B"/>
    <w:rsid w:val="00D41332"/>
    <w:rsid w:val="00D441C4"/>
    <w:rsid w:val="00E25037"/>
    <w:rsid w:val="00E32EAE"/>
    <w:rsid w:val="00E64494"/>
    <w:rsid w:val="00EB1FE4"/>
    <w:rsid w:val="00EB74BD"/>
    <w:rsid w:val="00FE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290B"/>
    <w:pPr>
      <w:spacing w:before="120" w:after="120" w:line="240" w:lineRule="auto"/>
      <w:ind w:left="851"/>
      <w:jc w:val="both"/>
    </w:pPr>
    <w:rPr>
      <w:rFonts w:ascii="Arial" w:eastAsia="Times New Roman" w:hAnsi="Arial" w:cs="Times New Roman"/>
      <w:color w:val="000000"/>
      <w:szCs w:val="20"/>
      <w:lang w:val="en-GB"/>
    </w:rPr>
  </w:style>
  <w:style w:type="paragraph" w:styleId="1">
    <w:name w:val="heading 1"/>
    <w:basedOn w:val="a0"/>
    <w:next w:val="a0"/>
    <w:link w:val="10"/>
    <w:uiPriority w:val="9"/>
    <w:qFormat/>
    <w:rsid w:val="00182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autoRedefine/>
    <w:qFormat/>
    <w:rsid w:val="009107FB"/>
    <w:pPr>
      <w:keepNext w:val="0"/>
      <w:keepLines w:val="0"/>
      <w:widowControl w:val="0"/>
      <w:suppressAutoHyphens/>
      <w:spacing w:before="120" w:after="120"/>
      <w:ind w:left="0" w:firstLine="709"/>
      <w:jc w:val="center"/>
      <w:outlineLvl w:val="1"/>
    </w:pPr>
    <w:rPr>
      <w:rFonts w:ascii="Times New Roman" w:eastAsia="Times New Roman" w:hAnsi="Times New Roman" w:cs="Times New Roman"/>
      <w:bCs w:val="0"/>
      <w:noProof/>
      <w:color w:val="00000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107FB"/>
    <w:rPr>
      <w:rFonts w:ascii="Times New Roman" w:eastAsia="Times New Roman" w:hAnsi="Times New Roman" w:cs="Times New Roman"/>
      <w:b/>
      <w:noProof/>
      <w:color w:val="000000"/>
      <w:sz w:val="28"/>
      <w:szCs w:val="28"/>
      <w:lang w:val="uk-UA"/>
    </w:rPr>
  </w:style>
  <w:style w:type="paragraph" w:styleId="a">
    <w:name w:val="Body Text Indent"/>
    <w:basedOn w:val="a0"/>
    <w:link w:val="a4"/>
    <w:rsid w:val="0018290B"/>
    <w:pPr>
      <w:numPr>
        <w:numId w:val="1"/>
      </w:numPr>
      <w:tabs>
        <w:tab w:val="clear" w:pos="1211"/>
        <w:tab w:val="left" w:pos="1134"/>
      </w:tabs>
      <w:ind w:left="1135" w:hanging="284"/>
    </w:pPr>
    <w:rPr>
      <w:bCs/>
    </w:rPr>
  </w:style>
  <w:style w:type="character" w:customStyle="1" w:styleId="a4">
    <w:name w:val="Основной текст с отступом Знак"/>
    <w:basedOn w:val="a1"/>
    <w:link w:val="a"/>
    <w:rsid w:val="0018290B"/>
    <w:rPr>
      <w:rFonts w:ascii="Arial" w:eastAsia="Times New Roman" w:hAnsi="Arial" w:cs="Times New Roman"/>
      <w:bCs/>
      <w:color w:val="000000"/>
      <w:szCs w:val="20"/>
      <w:lang w:val="en-GB"/>
    </w:rPr>
  </w:style>
  <w:style w:type="paragraph" w:styleId="a5">
    <w:name w:val="Title"/>
    <w:basedOn w:val="a0"/>
    <w:link w:val="a6"/>
    <w:qFormat/>
    <w:rsid w:val="0018290B"/>
    <w:pPr>
      <w:spacing w:before="0" w:after="0"/>
      <w:ind w:left="0"/>
      <w:jc w:val="center"/>
    </w:pPr>
    <w:rPr>
      <w:rFonts w:ascii="Times New Roman" w:hAnsi="Times New Roman"/>
      <w:b/>
      <w:color w:val="auto"/>
      <w:sz w:val="26"/>
      <w:lang w:val="uk-UA" w:eastAsia="ru-RU"/>
    </w:rPr>
  </w:style>
  <w:style w:type="character" w:customStyle="1" w:styleId="a6">
    <w:name w:val="Название Знак"/>
    <w:basedOn w:val="a1"/>
    <w:link w:val="a5"/>
    <w:rsid w:val="0018290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uiPriority w:val="9"/>
    <w:rsid w:val="00182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7">
    <w:name w:val="Balloon Text"/>
    <w:basedOn w:val="a0"/>
    <w:link w:val="a8"/>
    <w:uiPriority w:val="99"/>
    <w:semiHidden/>
    <w:unhideWhenUsed/>
    <w:rsid w:val="001829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8290B"/>
    <w:rPr>
      <w:rFonts w:ascii="Tahoma" w:eastAsia="Times New Roman" w:hAnsi="Tahoma" w:cs="Tahoma"/>
      <w:color w:val="000000"/>
      <w:sz w:val="16"/>
      <w:szCs w:val="16"/>
      <w:lang w:val="en-GB"/>
    </w:rPr>
  </w:style>
  <w:style w:type="paragraph" w:styleId="a9">
    <w:name w:val="header"/>
    <w:basedOn w:val="a0"/>
    <w:link w:val="aa"/>
    <w:uiPriority w:val="99"/>
    <w:unhideWhenUsed/>
    <w:rsid w:val="0018290B"/>
    <w:pPr>
      <w:tabs>
        <w:tab w:val="center" w:pos="4844"/>
        <w:tab w:val="right" w:pos="9689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rsid w:val="0018290B"/>
    <w:rPr>
      <w:rFonts w:ascii="Arial" w:eastAsia="Times New Roman" w:hAnsi="Arial" w:cs="Times New Roman"/>
      <w:color w:val="000000"/>
      <w:szCs w:val="20"/>
      <w:lang w:val="en-GB"/>
    </w:rPr>
  </w:style>
  <w:style w:type="paragraph" w:styleId="ab">
    <w:name w:val="footer"/>
    <w:basedOn w:val="a0"/>
    <w:link w:val="ac"/>
    <w:uiPriority w:val="99"/>
    <w:semiHidden/>
    <w:unhideWhenUsed/>
    <w:rsid w:val="0018290B"/>
    <w:pPr>
      <w:tabs>
        <w:tab w:val="center" w:pos="4844"/>
        <w:tab w:val="right" w:pos="9689"/>
      </w:tabs>
      <w:spacing w:before="0" w:after="0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18290B"/>
    <w:rPr>
      <w:rFonts w:ascii="Arial" w:eastAsia="Times New Roman" w:hAnsi="Arial" w:cs="Times New Roman"/>
      <w:color w:val="000000"/>
      <w:szCs w:val="20"/>
      <w:lang w:val="en-GB"/>
    </w:rPr>
  </w:style>
  <w:style w:type="paragraph" w:styleId="ad">
    <w:name w:val="List Paragraph"/>
    <w:basedOn w:val="a0"/>
    <w:uiPriority w:val="34"/>
    <w:qFormat/>
    <w:rsid w:val="00BE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cp:lastPrinted>2018-12-11T08:48:00Z</cp:lastPrinted>
  <dcterms:created xsi:type="dcterms:W3CDTF">2018-11-05T09:28:00Z</dcterms:created>
  <dcterms:modified xsi:type="dcterms:W3CDTF">2018-12-11T08:59:00Z</dcterms:modified>
</cp:coreProperties>
</file>